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3C4" w:rsidRPr="00011CF2" w:rsidRDefault="00F61E8D" w:rsidP="006603C4">
      <w:pPr>
        <w:pStyle w:val="Titre1"/>
        <w:pBdr>
          <w:top w:val="single" w:sz="4" w:space="1" w:color="auto"/>
          <w:left w:val="single" w:sz="4" w:space="4" w:color="auto"/>
          <w:bottom w:val="single" w:sz="4" w:space="1" w:color="auto"/>
          <w:right w:val="single" w:sz="4" w:space="4" w:color="auto"/>
        </w:pBdr>
        <w:shd w:val="clear" w:color="auto" w:fill="D9D9D9"/>
        <w:tabs>
          <w:tab w:val="clear" w:pos="789"/>
        </w:tabs>
        <w:spacing w:before="480" w:after="120" w:line="276" w:lineRule="auto"/>
        <w:ind w:left="357" w:hanging="357"/>
      </w:pPr>
      <w:bookmarkStart w:id="0" w:name="_Toc195880667"/>
      <w:r>
        <w:t>%</w:t>
      </w:r>
      <w:r w:rsidR="006603C4" w:rsidRPr="00011CF2">
        <w:t>MODALITES DE LA CLAUSE D’INTERESSEMENT</w:t>
      </w:r>
      <w:bookmarkEnd w:id="0"/>
    </w:p>
    <w:p w:rsidR="006603C4" w:rsidRPr="00FD196C" w:rsidRDefault="006603C4" w:rsidP="006603C4">
      <w:pPr>
        <w:rPr>
          <w:b/>
        </w:rPr>
      </w:pPr>
      <w:r w:rsidRPr="00FD196C">
        <w:rPr>
          <w:b/>
        </w:rPr>
        <w:t xml:space="preserve">Le marché prévoit la mise en place d’objectifs </w:t>
      </w:r>
      <w:proofErr w:type="spellStart"/>
      <w:r w:rsidRPr="00FD196C">
        <w:rPr>
          <w:b/>
        </w:rPr>
        <w:t>performantiels</w:t>
      </w:r>
      <w:proofErr w:type="spellEnd"/>
      <w:r w:rsidRPr="00FD196C">
        <w:rPr>
          <w:b/>
        </w:rPr>
        <w:t xml:space="preserve"> avec obligation de résultats sur le chauffage de certains bâtiments </w:t>
      </w:r>
      <w:r w:rsidR="008757C8">
        <w:rPr>
          <w:b/>
        </w:rPr>
        <w:t>définis dans le chapitre 1.1 ci-dessous.</w:t>
      </w:r>
    </w:p>
    <w:p w:rsidR="006603C4" w:rsidRPr="00D21044" w:rsidRDefault="006603C4" w:rsidP="006603C4">
      <w:r w:rsidRPr="00D21044">
        <w:t>Ces objectifs portent sur :</w:t>
      </w:r>
    </w:p>
    <w:p w:rsidR="00B10F83" w:rsidRPr="002473E0" w:rsidRDefault="006603C4" w:rsidP="005B1B52">
      <w:pPr>
        <w:numPr>
          <w:ilvl w:val="0"/>
          <w:numId w:val="21"/>
        </w:numPr>
        <w:spacing w:line="276" w:lineRule="auto"/>
        <w:ind w:left="714" w:hanging="357"/>
        <w:contextualSpacing/>
      </w:pPr>
      <w:r w:rsidRPr="002473E0">
        <w:t>Les rendements minimums de com</w:t>
      </w:r>
      <w:r w:rsidR="00B10F83" w:rsidRPr="002473E0">
        <w:t>bustion des chaufferies sont fixés à 90%</w:t>
      </w:r>
    </w:p>
    <w:p w:rsidR="006603C4" w:rsidRPr="00B96141" w:rsidRDefault="006603C4" w:rsidP="005B1B52">
      <w:pPr>
        <w:numPr>
          <w:ilvl w:val="0"/>
          <w:numId w:val="21"/>
        </w:numPr>
        <w:spacing w:line="276" w:lineRule="auto"/>
        <w:ind w:left="714" w:hanging="357"/>
        <w:contextualSpacing/>
      </w:pPr>
      <w:r w:rsidRPr="002473E0">
        <w:t>Le maintien des températures ambia</w:t>
      </w:r>
      <w:r w:rsidR="00B10F83" w:rsidRPr="002473E0">
        <w:t>ntes contractuelles définies au § 3 du CCTP</w:t>
      </w:r>
      <w:r w:rsidR="00B10F83">
        <w:t xml:space="preserve"> ST2.1 </w:t>
      </w:r>
      <w:r w:rsidRPr="00B96141">
        <w:t>dans les locaux chauffés durant la saison de chauffe,</w:t>
      </w:r>
    </w:p>
    <w:p w:rsidR="006603C4" w:rsidRPr="00D21044" w:rsidRDefault="006603C4" w:rsidP="006603C4">
      <w:pPr>
        <w:numPr>
          <w:ilvl w:val="0"/>
          <w:numId w:val="21"/>
        </w:numPr>
        <w:spacing w:line="276" w:lineRule="auto"/>
        <w:ind w:left="714" w:hanging="357"/>
        <w:contextualSpacing/>
      </w:pPr>
      <w:r w:rsidRPr="00D21044">
        <w:t>La réduction de la consommation d</w:t>
      </w:r>
      <w:r>
        <w:t>e combustible/énergie pour le chauffage de certains</w:t>
      </w:r>
      <w:r w:rsidRPr="00D21044">
        <w:t xml:space="preserve"> bâtiments</w:t>
      </w:r>
      <w:r>
        <w:t xml:space="preserve">, </w:t>
      </w:r>
      <w:r w:rsidRPr="00D21044">
        <w:t xml:space="preserve">objet de la </w:t>
      </w:r>
      <w:r>
        <w:t xml:space="preserve">présente </w:t>
      </w:r>
      <w:r w:rsidRPr="00D21044">
        <w:t>clause d’intéressement.</w:t>
      </w:r>
    </w:p>
    <w:p w:rsidR="006603C4" w:rsidRDefault="006603C4" w:rsidP="006603C4">
      <w:pPr>
        <w:spacing w:before="240"/>
      </w:pPr>
      <w:r>
        <w:t xml:space="preserve">La clause d’intéressement, calculée annuellement, prévoit le partage des économies ou des excès de consommation de combustible et d’énergie entre le </w:t>
      </w:r>
      <w:r w:rsidRPr="001B38E4">
        <w:t xml:space="preserve">représentant de l’acheteur </w:t>
      </w:r>
      <w:r>
        <w:t>et le Titulaire, par rapport à une consommation cible définie contractuellement.</w:t>
      </w:r>
    </w:p>
    <w:p w:rsidR="006603C4" w:rsidRDefault="006603C4" w:rsidP="006603C4">
      <w:r>
        <w:t xml:space="preserve">La clause d’intéressement ne s’applique qu’aux installations de chauffage </w:t>
      </w:r>
      <w:r w:rsidRPr="002B4771">
        <w:rPr>
          <w:u w:val="single"/>
        </w:rPr>
        <w:t>et ne porte pas sur les volumes d’ECS</w:t>
      </w:r>
      <w:r>
        <w:t>.</w:t>
      </w:r>
    </w:p>
    <w:p w:rsidR="006603C4" w:rsidRPr="00C3153F" w:rsidRDefault="006603C4" w:rsidP="006603C4">
      <w:pPr>
        <w:pStyle w:val="Titre2"/>
        <w:tabs>
          <w:tab w:val="clear" w:pos="933"/>
        </w:tabs>
        <w:spacing w:after="120" w:line="276" w:lineRule="auto"/>
        <w:ind w:left="715" w:hanging="431"/>
      </w:pPr>
      <w:bookmarkStart w:id="1" w:name="_Toc195880668"/>
      <w:r>
        <w:t>Périmètre de la clause d’intéressement</w:t>
      </w:r>
      <w:bookmarkEnd w:id="1"/>
    </w:p>
    <w:p w:rsidR="006603C4" w:rsidRDefault="006603C4" w:rsidP="006603C4">
      <w:r w:rsidRPr="00000B78">
        <w:t xml:space="preserve">La clause d’intéressement porte sur la </w:t>
      </w:r>
      <w:r w:rsidRPr="00000B78">
        <w:rPr>
          <w:u w:val="single"/>
        </w:rPr>
        <w:t>consommation d’énergie (Réseau de Chaleur Urbain)</w:t>
      </w:r>
      <w:r w:rsidRPr="00000B78">
        <w:t xml:space="preserve"> nécessaires pour le chauffage des bâtiments suivants</w:t>
      </w:r>
      <w:r w:rsidR="00000B78">
        <w:t xml:space="preserve"> </w:t>
      </w:r>
      <w:r w:rsidRPr="00000B78">
        <w:t>:</w:t>
      </w:r>
    </w:p>
    <w:p w:rsidR="008757C8" w:rsidRDefault="008757C8" w:rsidP="006603C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131"/>
      </w:tblGrid>
      <w:tr w:rsidR="00000B78" w:rsidRPr="00723FAF" w:rsidTr="00000B78">
        <w:trPr>
          <w:jc w:val="center"/>
        </w:trPr>
        <w:tc>
          <w:tcPr>
            <w:tcW w:w="3285" w:type="dxa"/>
            <w:tcBorders>
              <w:bottom w:val="single" w:sz="4" w:space="0" w:color="auto"/>
            </w:tcBorders>
            <w:shd w:val="pct12" w:color="auto" w:fill="auto"/>
            <w:vAlign w:val="center"/>
          </w:tcPr>
          <w:p w:rsidR="00000B78" w:rsidRPr="00723FAF" w:rsidRDefault="00000B78" w:rsidP="005B1B52">
            <w:pPr>
              <w:spacing w:before="60" w:after="60"/>
              <w:jc w:val="center"/>
            </w:pPr>
            <w:r w:rsidRPr="00723FAF">
              <w:t>Bâtiment</w:t>
            </w:r>
          </w:p>
        </w:tc>
        <w:tc>
          <w:tcPr>
            <w:tcW w:w="2131" w:type="dxa"/>
            <w:tcBorders>
              <w:bottom w:val="single" w:sz="4" w:space="0" w:color="auto"/>
            </w:tcBorders>
            <w:shd w:val="pct12" w:color="auto" w:fill="auto"/>
            <w:vAlign w:val="center"/>
          </w:tcPr>
          <w:p w:rsidR="00000B78" w:rsidRPr="00723FAF" w:rsidRDefault="00000B78" w:rsidP="005B1B52">
            <w:pPr>
              <w:spacing w:before="60" w:after="60"/>
              <w:jc w:val="center"/>
            </w:pPr>
            <w:r w:rsidRPr="00723FAF">
              <w:t>N° G2d</w:t>
            </w:r>
          </w:p>
        </w:tc>
      </w:tr>
      <w:tr w:rsidR="00000B78" w:rsidRPr="00723FAF" w:rsidTr="00000B78">
        <w:trPr>
          <w:jc w:val="center"/>
        </w:trPr>
        <w:tc>
          <w:tcPr>
            <w:tcW w:w="3285" w:type="dxa"/>
            <w:shd w:val="clear" w:color="auto" w:fill="auto"/>
            <w:vAlign w:val="center"/>
          </w:tcPr>
          <w:p w:rsidR="00000B78" w:rsidRPr="00723FAF" w:rsidRDefault="00000B78" w:rsidP="00000B78">
            <w:pPr>
              <w:spacing w:before="60" w:after="60"/>
            </w:pPr>
            <w:r>
              <w:t xml:space="preserve">KERORIOU - </w:t>
            </w:r>
            <w:r w:rsidRPr="00723FAF">
              <w:t xml:space="preserve">Espace </w:t>
            </w:r>
            <w:r>
              <w:t>OCEAN</w:t>
            </w:r>
          </w:p>
        </w:tc>
        <w:tc>
          <w:tcPr>
            <w:tcW w:w="2131" w:type="dxa"/>
            <w:shd w:val="clear" w:color="auto" w:fill="auto"/>
          </w:tcPr>
          <w:p w:rsidR="00000B78" w:rsidRPr="00723FAF" w:rsidRDefault="00000B78" w:rsidP="005B1B52">
            <w:pPr>
              <w:spacing w:before="60" w:after="60"/>
            </w:pPr>
            <w:r w:rsidRPr="00723FAF">
              <w:t>290019535N0005</w:t>
            </w:r>
          </w:p>
        </w:tc>
      </w:tr>
      <w:tr w:rsidR="00000B78" w:rsidRPr="00723FAF" w:rsidTr="00000B78">
        <w:trPr>
          <w:jc w:val="center"/>
        </w:trPr>
        <w:tc>
          <w:tcPr>
            <w:tcW w:w="3285" w:type="dxa"/>
            <w:shd w:val="clear" w:color="auto" w:fill="auto"/>
            <w:vAlign w:val="center"/>
          </w:tcPr>
          <w:p w:rsidR="00000B78" w:rsidRPr="00723FAF" w:rsidRDefault="00000B78" w:rsidP="005B1B52">
            <w:pPr>
              <w:spacing w:before="60" w:after="60"/>
            </w:pPr>
            <w:r>
              <w:t>KERORIOU</w:t>
            </w:r>
            <w:r w:rsidRPr="00723FAF">
              <w:t xml:space="preserve"> - Espace OASIS</w:t>
            </w:r>
          </w:p>
        </w:tc>
        <w:tc>
          <w:tcPr>
            <w:tcW w:w="2131" w:type="dxa"/>
            <w:shd w:val="clear" w:color="auto" w:fill="auto"/>
          </w:tcPr>
          <w:p w:rsidR="00000B78" w:rsidRPr="00723FAF" w:rsidRDefault="00000B78" w:rsidP="005B1B52">
            <w:pPr>
              <w:spacing w:before="60" w:after="60"/>
            </w:pPr>
            <w:r w:rsidRPr="00723FAF">
              <w:t>290019535N0004</w:t>
            </w:r>
          </w:p>
        </w:tc>
      </w:tr>
      <w:tr w:rsidR="00000B78" w:rsidRPr="00723FAF" w:rsidTr="00000B78">
        <w:trPr>
          <w:jc w:val="center"/>
        </w:trPr>
        <w:tc>
          <w:tcPr>
            <w:tcW w:w="3285" w:type="dxa"/>
            <w:shd w:val="clear" w:color="auto" w:fill="auto"/>
            <w:vAlign w:val="center"/>
          </w:tcPr>
          <w:p w:rsidR="00000B78" w:rsidRPr="00723FAF" w:rsidRDefault="00000B78" w:rsidP="005B1B52">
            <w:pPr>
              <w:spacing w:before="60" w:after="60"/>
            </w:pPr>
            <w:r>
              <w:t>CMV - CATALPA</w:t>
            </w:r>
          </w:p>
        </w:tc>
        <w:tc>
          <w:tcPr>
            <w:tcW w:w="2131" w:type="dxa"/>
            <w:shd w:val="clear" w:color="auto" w:fill="auto"/>
          </w:tcPr>
          <w:p w:rsidR="00000B78" w:rsidRPr="00CF426D" w:rsidRDefault="00000B78" w:rsidP="005B1B52">
            <w:pPr>
              <w:spacing w:before="60" w:after="60"/>
              <w:rPr>
                <w:szCs w:val="22"/>
                <w:highlight w:val="yellow"/>
              </w:rPr>
            </w:pPr>
            <w:r w:rsidRPr="00CF426D">
              <w:rPr>
                <w:szCs w:val="22"/>
              </w:rPr>
              <w:t>29001958G</w:t>
            </w:r>
            <w:r>
              <w:rPr>
                <w:szCs w:val="22"/>
              </w:rPr>
              <w:t>0046</w:t>
            </w:r>
          </w:p>
        </w:tc>
      </w:tr>
      <w:tr w:rsidR="00000B78" w:rsidRPr="00723FAF" w:rsidTr="00000B78">
        <w:trPr>
          <w:jc w:val="center"/>
        </w:trPr>
        <w:tc>
          <w:tcPr>
            <w:tcW w:w="3285" w:type="dxa"/>
            <w:shd w:val="clear" w:color="auto" w:fill="auto"/>
            <w:vAlign w:val="center"/>
          </w:tcPr>
          <w:p w:rsidR="00000B78" w:rsidRPr="00723FAF" w:rsidRDefault="00000B78" w:rsidP="005B1B52">
            <w:pPr>
              <w:spacing w:before="60" w:after="60"/>
            </w:pPr>
            <w:r>
              <w:t>CMV - PENFELD</w:t>
            </w:r>
          </w:p>
        </w:tc>
        <w:tc>
          <w:tcPr>
            <w:tcW w:w="2131" w:type="dxa"/>
            <w:shd w:val="clear" w:color="auto" w:fill="auto"/>
          </w:tcPr>
          <w:p w:rsidR="00000B78" w:rsidRPr="00CF426D" w:rsidRDefault="00000B78" w:rsidP="005B1B52">
            <w:pPr>
              <w:spacing w:before="60" w:after="60"/>
              <w:rPr>
                <w:szCs w:val="22"/>
                <w:highlight w:val="yellow"/>
              </w:rPr>
            </w:pPr>
            <w:r w:rsidRPr="00CF426D">
              <w:rPr>
                <w:szCs w:val="22"/>
              </w:rPr>
              <w:t>29001958G0003</w:t>
            </w:r>
          </w:p>
        </w:tc>
      </w:tr>
      <w:tr w:rsidR="00000B78" w:rsidRPr="00723FAF" w:rsidTr="00000B78">
        <w:trPr>
          <w:jc w:val="center"/>
        </w:trPr>
        <w:tc>
          <w:tcPr>
            <w:tcW w:w="3285" w:type="dxa"/>
            <w:shd w:val="clear" w:color="auto" w:fill="auto"/>
            <w:vAlign w:val="center"/>
          </w:tcPr>
          <w:p w:rsidR="00000B78" w:rsidRPr="00723FAF" w:rsidRDefault="00000B78" w:rsidP="005B1B52">
            <w:pPr>
              <w:spacing w:before="60" w:after="60"/>
            </w:pPr>
            <w:r>
              <w:t>CMV - GIFFARD</w:t>
            </w:r>
          </w:p>
        </w:tc>
        <w:tc>
          <w:tcPr>
            <w:tcW w:w="2131" w:type="dxa"/>
            <w:shd w:val="clear" w:color="auto" w:fill="auto"/>
          </w:tcPr>
          <w:p w:rsidR="00000B78" w:rsidRPr="00CF426D" w:rsidRDefault="00000B78" w:rsidP="005B1B52">
            <w:pPr>
              <w:spacing w:before="60" w:after="60"/>
              <w:rPr>
                <w:szCs w:val="22"/>
                <w:highlight w:val="yellow"/>
              </w:rPr>
            </w:pPr>
            <w:r w:rsidRPr="00CF426D">
              <w:rPr>
                <w:szCs w:val="22"/>
              </w:rPr>
              <w:t>290019528G0002</w:t>
            </w:r>
          </w:p>
        </w:tc>
      </w:tr>
      <w:tr w:rsidR="00000B78" w:rsidRPr="00723FAF" w:rsidTr="00000B78">
        <w:trPr>
          <w:jc w:val="center"/>
        </w:trPr>
        <w:tc>
          <w:tcPr>
            <w:tcW w:w="3285" w:type="dxa"/>
            <w:shd w:val="clear" w:color="auto" w:fill="auto"/>
            <w:vAlign w:val="center"/>
          </w:tcPr>
          <w:p w:rsidR="00000B78" w:rsidRPr="00000B78" w:rsidRDefault="00000B78" w:rsidP="005B1B52">
            <w:pPr>
              <w:spacing w:before="0" w:after="0"/>
              <w:jc w:val="left"/>
              <w:rPr>
                <w:rFonts w:cs="Arial"/>
                <w:color w:val="000000"/>
                <w:szCs w:val="22"/>
              </w:rPr>
            </w:pPr>
            <w:r>
              <w:rPr>
                <w:rFonts w:cs="Arial"/>
                <w:color w:val="000000"/>
                <w:szCs w:val="22"/>
              </w:rPr>
              <w:t xml:space="preserve">CMV - </w:t>
            </w:r>
            <w:r w:rsidRPr="00000B78">
              <w:rPr>
                <w:rFonts w:cs="Arial"/>
                <w:color w:val="000000"/>
                <w:szCs w:val="22"/>
              </w:rPr>
              <w:t>Centre Médical</w:t>
            </w:r>
          </w:p>
        </w:tc>
        <w:tc>
          <w:tcPr>
            <w:tcW w:w="2131" w:type="dxa"/>
            <w:shd w:val="clear" w:color="auto" w:fill="auto"/>
            <w:vAlign w:val="center"/>
          </w:tcPr>
          <w:p w:rsidR="00000B78" w:rsidRPr="00000B78" w:rsidRDefault="00000B78" w:rsidP="005B1B52">
            <w:pPr>
              <w:rPr>
                <w:rFonts w:cs="Arial"/>
                <w:color w:val="000000"/>
                <w:szCs w:val="22"/>
              </w:rPr>
            </w:pPr>
            <w:r w:rsidRPr="00000B78">
              <w:rPr>
                <w:rFonts w:cs="Arial"/>
                <w:color w:val="000000"/>
                <w:szCs w:val="22"/>
              </w:rPr>
              <w:t>290019528G0008</w:t>
            </w:r>
          </w:p>
        </w:tc>
      </w:tr>
    </w:tbl>
    <w:p w:rsidR="00000B78" w:rsidRDefault="00000B78" w:rsidP="006603C4"/>
    <w:p w:rsidR="006603C4" w:rsidRDefault="006603C4" w:rsidP="006603C4"/>
    <w:p w:rsidR="006603C4" w:rsidRDefault="006603C4" w:rsidP="006603C4"/>
    <w:p w:rsidR="006603C4" w:rsidRPr="002065C7" w:rsidRDefault="006603C4" w:rsidP="006603C4">
      <w:r w:rsidRPr="002065C7">
        <w:t>La production d’eau chaude sanitaire n’est pas concernée par la clause d’intéressement et par conséquent sa consommation en énergie doit être retranchée de la consommation globale pour le calcul de l’intéressement.</w:t>
      </w:r>
    </w:p>
    <w:p w:rsidR="006603C4" w:rsidRPr="00723FAF" w:rsidRDefault="006603C4" w:rsidP="006603C4"/>
    <w:p w:rsidR="006603C4" w:rsidRDefault="006603C4" w:rsidP="006603C4">
      <w:pPr>
        <w:pStyle w:val="Titre2"/>
        <w:tabs>
          <w:tab w:val="clear" w:pos="933"/>
        </w:tabs>
        <w:spacing w:after="120" w:line="276" w:lineRule="auto"/>
        <w:ind w:left="715" w:hanging="431"/>
      </w:pPr>
      <w:bookmarkStart w:id="2" w:name="_Toc195880669"/>
      <w:r>
        <w:t>Principes retenus pour la détermination et l’application de la clause d’intéressement</w:t>
      </w:r>
      <w:bookmarkEnd w:id="2"/>
    </w:p>
    <w:p w:rsidR="006603C4" w:rsidRDefault="006603C4" w:rsidP="006603C4">
      <w:r w:rsidRPr="00DC7508">
        <w:t>A la fin de chaque année contractuelle</w:t>
      </w:r>
      <w:r>
        <w:t>,</w:t>
      </w:r>
      <w:r w:rsidRPr="00DC7508">
        <w:t xml:space="preserve"> un calcul de l’intéressement est effectué pour l’ensemble des installations concernées</w:t>
      </w:r>
      <w:r>
        <w:t>.</w:t>
      </w:r>
    </w:p>
    <w:p w:rsidR="006603C4" w:rsidRPr="008757C8" w:rsidRDefault="006603C4" w:rsidP="006603C4">
      <w:pPr>
        <w:pStyle w:val="Titre3"/>
        <w:tabs>
          <w:tab w:val="clear" w:pos="1077"/>
        </w:tabs>
        <w:spacing w:after="120" w:line="276" w:lineRule="auto"/>
        <w:ind w:left="1843" w:right="-1741" w:hanging="567"/>
        <w:rPr>
          <w:sz w:val="22"/>
          <w:szCs w:val="22"/>
        </w:rPr>
      </w:pPr>
      <w:bookmarkStart w:id="3" w:name="_Toc195880670"/>
      <w:r w:rsidRPr="008757C8">
        <w:rPr>
          <w:sz w:val="22"/>
          <w:szCs w:val="22"/>
        </w:rPr>
        <w:lastRenderedPageBreak/>
        <w:t>Définitions</w:t>
      </w:r>
      <w:bookmarkEnd w:id="3"/>
    </w:p>
    <w:p w:rsidR="006603C4" w:rsidRDefault="006603C4" w:rsidP="006603C4">
      <w:pPr>
        <w:ind w:left="284"/>
        <w:rPr>
          <w:b/>
        </w:rPr>
      </w:pPr>
      <w:r>
        <w:rPr>
          <w:b/>
        </w:rPr>
        <w:t>Prix Forfaitaire :</w:t>
      </w:r>
      <w:r>
        <w:rPr>
          <w:b/>
        </w:rPr>
        <w:tab/>
      </w:r>
      <w:r>
        <w:rPr>
          <w:b/>
        </w:rPr>
        <w:tab/>
      </w:r>
      <w:r w:rsidRPr="00DC7508">
        <w:t>Rémunération des prestations</w:t>
      </w:r>
      <w:r>
        <w:t xml:space="preserve"> de la catégorie 1 (Prix A à F) de l’EPF.</w:t>
      </w:r>
    </w:p>
    <w:p w:rsidR="006603C4" w:rsidRDefault="006603C4" w:rsidP="006603C4">
      <w:pPr>
        <w:ind w:left="284"/>
      </w:pPr>
      <w:r>
        <w:rPr>
          <w:b/>
        </w:rPr>
        <w:t>Prix Forfaitaire PF(n)</w:t>
      </w:r>
      <w:r w:rsidRPr="0033780E">
        <w:rPr>
          <w:b/>
        </w:rPr>
        <w:t xml:space="preserve"> </w:t>
      </w:r>
      <w:r>
        <w:t>:</w:t>
      </w:r>
      <w:r>
        <w:tab/>
        <w:t>Prix de base Forfaitaire contractuel révisé pour l’année n.</w:t>
      </w:r>
    </w:p>
    <w:p w:rsidR="006603C4" w:rsidRDefault="006603C4" w:rsidP="006603C4">
      <w:pPr>
        <w:ind w:left="284"/>
      </w:pPr>
      <w:r>
        <w:rPr>
          <w:b/>
        </w:rPr>
        <w:t xml:space="preserve"> Prix Forfaitaire PF’(n)</w:t>
      </w:r>
      <w:r>
        <w:t xml:space="preserve"> :</w:t>
      </w:r>
      <w:r>
        <w:tab/>
        <w:t>Prix de base Forfaitaire assortie d'une clause d'intéressement, pour l’année n.</w:t>
      </w:r>
    </w:p>
    <w:p w:rsidR="006603C4" w:rsidRDefault="006603C4" w:rsidP="006603C4">
      <w:pPr>
        <w:ind w:left="284"/>
      </w:pPr>
      <w:r w:rsidRPr="0033780E">
        <w:rPr>
          <w:b/>
        </w:rPr>
        <w:t>I</w:t>
      </w:r>
      <w:r>
        <w:rPr>
          <w:b/>
        </w:rPr>
        <w:t>(n)</w:t>
      </w:r>
      <w:r>
        <w:t xml:space="preserve"> :</w:t>
      </w:r>
      <w:r>
        <w:tab/>
        <w:t>Montant de l’intéressement (positif, négatif ou nul) de l’année n.</w:t>
      </w:r>
    </w:p>
    <w:p w:rsidR="006603C4" w:rsidRDefault="006603C4" w:rsidP="006603C4">
      <w:pPr>
        <w:ind w:left="284"/>
      </w:pPr>
      <w:proofErr w:type="spellStart"/>
      <w:r w:rsidRPr="0033780E">
        <w:rPr>
          <w:b/>
        </w:rPr>
        <w:t>DJU</w:t>
      </w:r>
      <w:r>
        <w:rPr>
          <w:b/>
        </w:rPr>
        <w:t>réels</w:t>
      </w:r>
      <w:proofErr w:type="spellEnd"/>
      <w:r>
        <w:rPr>
          <w:b/>
        </w:rPr>
        <w:t>(</w:t>
      </w:r>
      <w:r w:rsidRPr="0033780E">
        <w:rPr>
          <w:b/>
        </w:rPr>
        <w:t>n</w:t>
      </w:r>
      <w:r>
        <w:rPr>
          <w:b/>
        </w:rPr>
        <w:t>)</w:t>
      </w:r>
      <w:r>
        <w:t xml:space="preserve"> : </w:t>
      </w:r>
      <w:r>
        <w:tab/>
        <w:t>Nombre de degrés–jours unifiés en base 18 correspondant à la période effective de chauffage sur l’année n, et à la station météorologique de référence, qui est la station de BREST GUIPAVAS.</w:t>
      </w:r>
    </w:p>
    <w:p w:rsidR="006603C4" w:rsidRPr="00BB4E3D" w:rsidRDefault="006603C4" w:rsidP="006603C4">
      <w:pPr>
        <w:ind w:left="284"/>
      </w:pPr>
      <w:proofErr w:type="spellStart"/>
      <w:r w:rsidRPr="00BB4E3D">
        <w:rPr>
          <w:b/>
        </w:rPr>
        <w:t>DJU</w:t>
      </w:r>
      <w:r>
        <w:rPr>
          <w:b/>
        </w:rPr>
        <w:t>référence</w:t>
      </w:r>
      <w:proofErr w:type="spellEnd"/>
      <w:r>
        <w:t xml:space="preserve"> : </w:t>
      </w:r>
      <w:r>
        <w:tab/>
        <w:t>Nombre de degrés-</w:t>
      </w:r>
      <w:r w:rsidRPr="00BB4E3D">
        <w:t xml:space="preserve">jours unifiés en base 18 correspondant à la période effective de chauffage sur l’année </w:t>
      </w:r>
      <w:r>
        <w:t>de référence</w:t>
      </w:r>
      <w:r w:rsidRPr="00BB4E3D">
        <w:t>, et à la station météorologique de référence, qui e</w:t>
      </w:r>
      <w:r>
        <w:t>st la station de BREST GUIPAVAS.</w:t>
      </w:r>
    </w:p>
    <w:p w:rsidR="006603C4" w:rsidRDefault="006603C4" w:rsidP="006603C4">
      <w:pPr>
        <w:ind w:left="284"/>
      </w:pPr>
      <w:proofErr w:type="spellStart"/>
      <w:proofErr w:type="gramStart"/>
      <w:r>
        <w:rPr>
          <w:b/>
        </w:rPr>
        <w:t>C</w:t>
      </w:r>
      <w:r w:rsidRPr="00CD7AA1">
        <w:rPr>
          <w:b/>
        </w:rPr>
        <w:t>réf</w:t>
      </w:r>
      <w:proofErr w:type="spellEnd"/>
      <w:r>
        <w:rPr>
          <w:b/>
        </w:rPr>
        <w:t xml:space="preserve">  [</w:t>
      </w:r>
      <w:proofErr w:type="gramEnd"/>
      <w:r>
        <w:rPr>
          <w:b/>
        </w:rPr>
        <w:t>C</w:t>
      </w:r>
      <w:r w:rsidRPr="0033780E">
        <w:rPr>
          <w:b/>
        </w:rPr>
        <w:t>onsommation annuelle de référence</w:t>
      </w:r>
      <w:r>
        <w:rPr>
          <w:b/>
        </w:rPr>
        <w:t>]</w:t>
      </w:r>
      <w:r>
        <w:t xml:space="preserve"> </w:t>
      </w:r>
      <w:r w:rsidRPr="0033780E">
        <w:t>: Quantité d’énergie</w:t>
      </w:r>
      <w:r>
        <w:t xml:space="preserve"> </w:t>
      </w:r>
      <w:r w:rsidRPr="0033780E">
        <w:t xml:space="preserve">annuelle actuellement nécessaire pour assurer le chauffage des locaux dans les conditions climatiques </w:t>
      </w:r>
      <w:r>
        <w:t>de référence</w:t>
      </w:r>
      <w:r w:rsidRPr="0033780E">
        <w:t xml:space="preserve"> (définies par le nombre de degrés-jours unifiés) et pour</w:t>
      </w:r>
      <w:r>
        <w:t xml:space="preserve"> une</w:t>
      </w:r>
      <w:r w:rsidRPr="0033780E">
        <w:t xml:space="preserve"> </w:t>
      </w:r>
      <w:r>
        <w:t>période de chauffe de référence.</w:t>
      </w:r>
    </w:p>
    <w:p w:rsidR="006603C4" w:rsidRPr="0033780E" w:rsidRDefault="006603C4" w:rsidP="006603C4">
      <w:pPr>
        <w:ind w:left="284"/>
      </w:pPr>
      <w:r w:rsidRPr="0033780E">
        <w:rPr>
          <w:b/>
        </w:rPr>
        <w:t>NB :</w:t>
      </w:r>
      <w:r w:rsidRPr="0033780E">
        <w:tab/>
        <w:t>Quantité d’énergie</w:t>
      </w:r>
      <w:r>
        <w:t xml:space="preserve"> </w:t>
      </w:r>
      <w:r w:rsidRPr="0033780E">
        <w:t xml:space="preserve">contractuelle théoriquement nécessaire que le </w:t>
      </w:r>
      <w:r>
        <w:t>Titulaire</w:t>
      </w:r>
      <w:r w:rsidRPr="0033780E">
        <w:t xml:space="preserve"> s’engage à consommer pour assurer le chauffage des locaux durant la période effective de chauffage sur une année, dans les conditions climatiques </w:t>
      </w:r>
      <w:r>
        <w:t>de référence (DJU de référence).</w:t>
      </w:r>
    </w:p>
    <w:p w:rsidR="006603C4" w:rsidRPr="0033780E" w:rsidRDefault="006603C4" w:rsidP="006603C4">
      <w:pPr>
        <w:ind w:left="284"/>
      </w:pPr>
      <w:r w:rsidRPr="0033780E">
        <w:rPr>
          <w:b/>
        </w:rPr>
        <w:t>N’B :</w:t>
      </w:r>
      <w:r w:rsidRPr="0033780E">
        <w:tab/>
        <w:t>Quantité d’énergie contractuelle théoriquement nécessaire au chauffage des locaux, durant la durée effective de chauffage sur une année, dans les conditions climatiques de la saison considérée (DJU réels)</w:t>
      </w:r>
      <w:r>
        <w:t>.</w:t>
      </w:r>
    </w:p>
    <w:p w:rsidR="006603C4" w:rsidRPr="005B665A" w:rsidRDefault="006603C4" w:rsidP="006603C4">
      <w:pPr>
        <w:ind w:left="284"/>
      </w:pPr>
      <w:r w:rsidRPr="0033780E">
        <w:rPr>
          <w:b/>
        </w:rPr>
        <w:t>NC :</w:t>
      </w:r>
      <w:r>
        <w:tab/>
        <w:t>Quantité d’énergie réellement</w:t>
      </w:r>
      <w:r w:rsidRPr="0033780E">
        <w:t xml:space="preserve"> consommée pour le chauffage des locaux durant la période effective de chauffage sur une année</w:t>
      </w:r>
      <w:r>
        <w:t>,</w:t>
      </w:r>
      <w:r w:rsidRPr="0033780E">
        <w:t xml:space="preserve"> dans les conditions climatiques de la saison considérée. </w:t>
      </w:r>
      <w:r w:rsidRPr="005B665A">
        <w:t xml:space="preserve">La valeur de NC est établie à partir des différents relevés de compteurs. </w:t>
      </w:r>
    </w:p>
    <w:p w:rsidR="006603C4" w:rsidRPr="001E5D41" w:rsidRDefault="006603C4" w:rsidP="006603C4">
      <w:pPr>
        <w:ind w:left="284"/>
        <w:rPr>
          <w:snapToGrid w:val="0"/>
        </w:rPr>
      </w:pPr>
      <w:proofErr w:type="gramStart"/>
      <w:r>
        <w:rPr>
          <w:b/>
        </w:rPr>
        <w:t>k</w:t>
      </w:r>
      <w:proofErr w:type="gramEnd"/>
      <w:r>
        <w:rPr>
          <w:b/>
        </w:rPr>
        <w:t>(n)</w:t>
      </w:r>
      <w:r w:rsidRPr="0033780E">
        <w:rPr>
          <w:b/>
        </w:rPr>
        <w:t> :</w:t>
      </w:r>
      <w:r>
        <w:tab/>
      </w:r>
      <w:r>
        <w:rPr>
          <w:snapToGrid w:val="0"/>
        </w:rPr>
        <w:t>P</w:t>
      </w:r>
      <w:r w:rsidRPr="00FD056A">
        <w:rPr>
          <w:snapToGrid w:val="0"/>
        </w:rPr>
        <w:t xml:space="preserve">rix </w:t>
      </w:r>
      <w:r>
        <w:rPr>
          <w:snapToGrid w:val="0"/>
        </w:rPr>
        <w:t xml:space="preserve">unitaire </w:t>
      </w:r>
      <w:r w:rsidRPr="00FD056A">
        <w:rPr>
          <w:snapToGrid w:val="0"/>
        </w:rPr>
        <w:t xml:space="preserve">moyen de la fourniture </w:t>
      </w:r>
      <w:r>
        <w:rPr>
          <w:snapToGrid w:val="0"/>
        </w:rPr>
        <w:t xml:space="preserve">d’énergie (RCU) nécessaire au chauffage des locaux </w:t>
      </w:r>
      <w:r w:rsidRPr="00BB7061">
        <w:rPr>
          <w:snapToGrid w:val="0"/>
        </w:rPr>
        <w:t>durant la durée</w:t>
      </w:r>
      <w:r>
        <w:rPr>
          <w:snapToGrid w:val="0"/>
        </w:rPr>
        <w:t xml:space="preserve"> effective de chauffage pour l’année n.</w:t>
      </w:r>
    </w:p>
    <w:p w:rsidR="006603C4" w:rsidRPr="008757C8" w:rsidRDefault="006603C4" w:rsidP="006603C4">
      <w:pPr>
        <w:pStyle w:val="Titre3"/>
        <w:tabs>
          <w:tab w:val="clear" w:pos="1077"/>
        </w:tabs>
        <w:spacing w:after="120" w:line="276" w:lineRule="auto"/>
        <w:ind w:left="1843" w:right="-1741" w:hanging="567"/>
        <w:rPr>
          <w:sz w:val="22"/>
          <w:szCs w:val="22"/>
        </w:rPr>
      </w:pPr>
      <w:bookmarkStart w:id="4" w:name="_Toc195880671"/>
      <w:r w:rsidRPr="008757C8">
        <w:rPr>
          <w:sz w:val="22"/>
          <w:szCs w:val="22"/>
        </w:rPr>
        <w:t>Détermination du PF’</w:t>
      </w:r>
      <w:bookmarkEnd w:id="4"/>
    </w:p>
    <w:p w:rsidR="006603C4" w:rsidRDefault="006603C4" w:rsidP="006603C4">
      <w:pPr>
        <w:ind w:left="283"/>
      </w:pPr>
      <w:r>
        <w:t>Pour chaque exercice annuel, le PF sera assorti d'une clause d'intéressement « I » indexée sur les consommations pour le chauffage.</w:t>
      </w:r>
    </w:p>
    <w:p w:rsidR="006603C4" w:rsidRDefault="006603C4" w:rsidP="006603C4">
      <w:pPr>
        <w:ind w:left="283"/>
      </w:pPr>
      <w:r>
        <w:t>Le montant de la prestation sera établi annuellement suivant la formule suivante :</w:t>
      </w:r>
    </w:p>
    <w:p w:rsidR="006603C4" w:rsidRDefault="006603C4" w:rsidP="006603C4">
      <w:pPr>
        <w:ind w:left="284"/>
        <w:jc w:val="center"/>
      </w:pPr>
      <w:r>
        <w:t xml:space="preserve">PF’(n) </w:t>
      </w:r>
      <w:proofErr w:type="gramStart"/>
      <w:r>
        <w:t>=  PF</w:t>
      </w:r>
      <w:proofErr w:type="gramEnd"/>
      <w:r>
        <w:t>(n) + I(n-1)</w:t>
      </w:r>
    </w:p>
    <w:p w:rsidR="006603C4" w:rsidRDefault="006603C4" w:rsidP="006603C4">
      <w:pPr>
        <w:ind w:left="284"/>
        <w:jc w:val="left"/>
      </w:pPr>
      <w:r>
        <w:t xml:space="preserve">Les modalités de paiement </w:t>
      </w:r>
      <w:proofErr w:type="gramStart"/>
      <w:r>
        <w:t>du  PF</w:t>
      </w:r>
      <w:proofErr w:type="gramEnd"/>
      <w:r>
        <w:t xml:space="preserve">’(n) sont indiquées au </w:t>
      </w:r>
      <w:r w:rsidRPr="00F130BE">
        <w:t>CCAP §</w:t>
      </w:r>
      <w:r>
        <w:t xml:space="preserve"> </w:t>
      </w:r>
      <w:r w:rsidRPr="00F130BE">
        <w:t>4.6</w:t>
      </w:r>
      <w:r>
        <w:t>.</w:t>
      </w:r>
    </w:p>
    <w:p w:rsidR="006603C4" w:rsidRPr="008757C8" w:rsidRDefault="006603C4" w:rsidP="006603C4">
      <w:pPr>
        <w:pStyle w:val="Titre3"/>
        <w:tabs>
          <w:tab w:val="clear" w:pos="1077"/>
        </w:tabs>
        <w:spacing w:after="120" w:line="276" w:lineRule="auto"/>
        <w:ind w:left="1843" w:right="-1741" w:hanging="567"/>
        <w:rPr>
          <w:sz w:val="22"/>
          <w:szCs w:val="22"/>
        </w:rPr>
      </w:pPr>
      <w:bookmarkStart w:id="5" w:name="_Toc195880672"/>
      <w:r w:rsidRPr="008757C8">
        <w:rPr>
          <w:sz w:val="22"/>
          <w:szCs w:val="22"/>
        </w:rPr>
        <w:t xml:space="preserve">Détermination de la consommation annuelle de référence </w:t>
      </w:r>
      <w:proofErr w:type="spellStart"/>
      <w:r w:rsidRPr="008757C8">
        <w:rPr>
          <w:sz w:val="22"/>
          <w:szCs w:val="22"/>
        </w:rPr>
        <w:t>Créf</w:t>
      </w:r>
      <w:bookmarkEnd w:id="5"/>
      <w:proofErr w:type="spellEnd"/>
    </w:p>
    <w:p w:rsidR="006603C4" w:rsidRDefault="006603C4" w:rsidP="006603C4">
      <w:pPr>
        <w:ind w:left="283"/>
      </w:pPr>
      <w:r w:rsidRPr="00AF35A7">
        <w:t>La consommation annuelle de référence</w:t>
      </w:r>
      <w:r>
        <w:t xml:space="preserve"> </w:t>
      </w:r>
      <w:proofErr w:type="spellStart"/>
      <w:r>
        <w:t>Créf</w:t>
      </w:r>
      <w:proofErr w:type="spellEnd"/>
      <w:r>
        <w:t xml:space="preserve"> est exprimée </w:t>
      </w:r>
      <w:r w:rsidRPr="00B84D32">
        <w:t>en [</w:t>
      </w:r>
      <w:proofErr w:type="spellStart"/>
      <w:r w:rsidRPr="00D36469">
        <w:t>kWh</w:t>
      </w:r>
      <w:r>
        <w:rPr>
          <w:vertAlign w:val="subscript"/>
        </w:rPr>
        <w:t>utile</w:t>
      </w:r>
      <w:proofErr w:type="spellEnd"/>
      <w:r>
        <w:t xml:space="preserve">] ou </w:t>
      </w:r>
      <w:r w:rsidRPr="00B84D32">
        <w:t>[</w:t>
      </w:r>
      <w:proofErr w:type="spellStart"/>
      <w:r>
        <w:t>M</w:t>
      </w:r>
      <w:r w:rsidRPr="00D36469">
        <w:t>Wh</w:t>
      </w:r>
      <w:r>
        <w:rPr>
          <w:vertAlign w:val="subscript"/>
        </w:rPr>
        <w:t>utile</w:t>
      </w:r>
      <w:proofErr w:type="spellEnd"/>
      <w:r>
        <w:t>].</w:t>
      </w:r>
    </w:p>
    <w:p w:rsidR="006603C4" w:rsidRDefault="006603C4" w:rsidP="006603C4">
      <w:pPr>
        <w:ind w:left="283"/>
      </w:pPr>
      <w:r>
        <w:t xml:space="preserve">Elle correspond à </w:t>
      </w:r>
      <w:r w:rsidRPr="00AF35A7">
        <w:t xml:space="preserve">la somme des consommations annuelles de référence associées à chaque </w:t>
      </w:r>
      <w:proofErr w:type="gramStart"/>
      <w:r>
        <w:t>postes</w:t>
      </w:r>
      <w:proofErr w:type="gramEnd"/>
      <w:r>
        <w:t xml:space="preserve"> de livraison RCU </w:t>
      </w:r>
      <w:r w:rsidRPr="009D1F14">
        <w:t>pour assurer le chauffage des locaux dans les conditions climatiques de référence et pour une période de chauffe de référence</w:t>
      </w:r>
      <w:r w:rsidRPr="00AF35A7">
        <w:t>. Ces dernières sont établies par production.</w:t>
      </w:r>
    </w:p>
    <w:p w:rsidR="006603C4" w:rsidRPr="00D760FC" w:rsidRDefault="006603C4" w:rsidP="006603C4">
      <w:pPr>
        <w:rPr>
          <w:b/>
          <w:snapToGrid w:val="0"/>
        </w:rPr>
      </w:pPr>
      <m:oMathPara>
        <m:oMath>
          <m:r>
            <m:rPr>
              <m:sty m:val="bi"/>
            </m:rPr>
            <w:rPr>
              <w:rFonts w:ascii="Cambria Math" w:hAnsi="Cambria Math"/>
              <w:sz w:val="20"/>
            </w:rPr>
            <w:lastRenderedPageBreak/>
            <m:t>Créf</m:t>
          </m:r>
          <m:r>
            <m:rPr>
              <m:sty m:val="bi"/>
            </m:rPr>
            <w:rPr>
              <w:rFonts w:ascii="Cambria Math" w:hAnsi="Cambria Math"/>
              <w:snapToGrid w:val="0"/>
              <w:sz w:val="20"/>
            </w:rPr>
            <m:t xml:space="preserve">= </m:t>
          </m:r>
          <m:nary>
            <m:naryPr>
              <m:chr m:val="∑"/>
              <m:limLoc m:val="undOvr"/>
              <m:supHide m:val="1"/>
              <m:ctrlPr>
                <w:rPr>
                  <w:rFonts w:ascii="Cambria Math" w:hAnsi="Cambria Math"/>
                  <w:b/>
                  <w:i/>
                  <w:snapToGrid w:val="0"/>
                  <w:sz w:val="20"/>
                </w:rPr>
              </m:ctrlPr>
            </m:naryPr>
            <m:sub>
              <m:r>
                <m:rPr>
                  <m:sty m:val="bi"/>
                </m:rPr>
                <w:rPr>
                  <w:rFonts w:ascii="Cambria Math" w:hAnsi="Cambria Math"/>
                  <w:snapToGrid w:val="0"/>
                  <w:sz w:val="20"/>
                </w:rPr>
                <m:t>i</m:t>
              </m:r>
            </m:sub>
            <m:sup/>
            <m:e>
              <m:r>
                <m:rPr>
                  <m:sty m:val="bi"/>
                </m:rPr>
                <w:rPr>
                  <w:rFonts w:ascii="Cambria Math" w:hAnsi="Cambria Math"/>
                  <w:sz w:val="20"/>
                </w:rPr>
                <m:t>Créf(i)</m:t>
              </m:r>
            </m:e>
          </m:nary>
        </m:oMath>
      </m:oMathPara>
    </w:p>
    <w:p w:rsidR="006603C4" w:rsidRDefault="006603C4" w:rsidP="006603C4">
      <w:pPr>
        <w:ind w:left="360"/>
        <w:rPr>
          <w:snapToGrid w:val="0"/>
        </w:rPr>
      </w:pPr>
      <w:r w:rsidRPr="00A761E6">
        <w:rPr>
          <w:snapToGrid w:val="0"/>
          <w:u w:val="single"/>
        </w:rPr>
        <w:t>Avec</w:t>
      </w:r>
      <w:r>
        <w:rPr>
          <w:snapToGrid w:val="0"/>
        </w:rPr>
        <w:t> :</w:t>
      </w:r>
      <w:r>
        <w:rPr>
          <w:snapToGrid w:val="0"/>
        </w:rPr>
        <w:tab/>
      </w:r>
    </w:p>
    <w:p w:rsidR="006603C4" w:rsidRPr="004545FC" w:rsidRDefault="006603C4" w:rsidP="006603C4">
      <w:pPr>
        <w:pStyle w:val="Paragraphedeliste"/>
        <w:numPr>
          <w:ilvl w:val="0"/>
          <w:numId w:val="19"/>
        </w:numPr>
        <w:spacing w:before="120" w:after="120"/>
        <w:ind w:left="720"/>
        <w:contextualSpacing w:val="0"/>
        <w:rPr>
          <w:rFonts w:cs="Arial"/>
          <w:snapToGrid w:val="0"/>
        </w:rPr>
      </w:pPr>
      <w:r w:rsidRPr="004545FC">
        <w:rPr>
          <w:rFonts w:cs="Arial"/>
          <w:snapToGrid w:val="0"/>
        </w:rPr>
        <w:t>(i) : Production de chaleur</w:t>
      </w:r>
    </w:p>
    <w:p w:rsidR="006603C4" w:rsidRPr="001E5D41" w:rsidRDefault="006603C4" w:rsidP="006603C4">
      <w:pPr>
        <w:pStyle w:val="Paragraphedeliste"/>
        <w:numPr>
          <w:ilvl w:val="0"/>
          <w:numId w:val="19"/>
        </w:numPr>
        <w:spacing w:before="120" w:after="120"/>
        <w:ind w:left="714" w:hanging="357"/>
        <w:contextualSpacing w:val="0"/>
        <w:rPr>
          <w:rFonts w:cs="Arial"/>
          <w:snapToGrid w:val="0"/>
        </w:rPr>
      </w:pPr>
      <m:oMath>
        <m:r>
          <w:rPr>
            <w:rFonts w:ascii="Cambria Math" w:hAnsi="Cambria Math" w:cs="Arial"/>
            <w:snapToGrid w:val="0"/>
          </w:rPr>
          <m:t>Créf(i)</m:t>
        </m:r>
      </m:oMath>
      <w:r w:rsidRPr="004545FC">
        <w:rPr>
          <w:rFonts w:cs="Arial"/>
          <w:snapToGrid w:val="0"/>
        </w:rPr>
        <w:t> : Consommation de référence associée à la production (i)</w:t>
      </w:r>
    </w:p>
    <w:p w:rsidR="006603C4" w:rsidRPr="00B84D32" w:rsidRDefault="006603C4" w:rsidP="006603C4">
      <w:pPr>
        <w:ind w:left="283"/>
      </w:pPr>
      <w:r w:rsidRPr="00AF35A7">
        <w:t xml:space="preserve">La consommation annuelle de référence </w:t>
      </w:r>
      <w:r>
        <w:t>[</w:t>
      </w:r>
      <w:proofErr w:type="spellStart"/>
      <w:r>
        <w:t>Créf</w:t>
      </w:r>
      <w:proofErr w:type="spellEnd"/>
      <w:r>
        <w:t>], ainsi que les consommations de référence associées à chaque production [</w:t>
      </w:r>
      <w:proofErr w:type="spellStart"/>
      <w:r>
        <w:t>Créf</w:t>
      </w:r>
      <w:proofErr w:type="spellEnd"/>
      <w:r>
        <w:t xml:space="preserve"> (i)] sont</w:t>
      </w:r>
      <w:r w:rsidRPr="00AF35A7">
        <w:t xml:space="preserve"> </w:t>
      </w:r>
      <w:r>
        <w:t xml:space="preserve">à établir par le Titulaire lors de la première année d’exploitation selon les dispositions </w:t>
      </w:r>
      <w:r w:rsidRPr="00644608">
        <w:t xml:space="preserve">du § </w:t>
      </w:r>
      <w:r w:rsidR="002473E0" w:rsidRPr="002473E0">
        <w:t>1.3.</w:t>
      </w:r>
      <w:r w:rsidR="002473E0">
        <w:t xml:space="preserve">1 </w:t>
      </w:r>
      <w:r w:rsidRPr="00644608">
        <w:t>et après</w:t>
      </w:r>
      <w:r>
        <w:t xml:space="preserve"> la réalisation éventuelle des travaux nécessaires (inclus au Prix Forfaitaire) au suivi de la performance.</w:t>
      </w:r>
    </w:p>
    <w:p w:rsidR="006603C4" w:rsidRPr="004C4772" w:rsidRDefault="006603C4" w:rsidP="006603C4">
      <w:pPr>
        <w:pStyle w:val="Titre3"/>
        <w:tabs>
          <w:tab w:val="clear" w:pos="1077"/>
        </w:tabs>
        <w:spacing w:after="120" w:line="276" w:lineRule="auto"/>
        <w:ind w:left="1843" w:right="-1741" w:hanging="567"/>
        <w:rPr>
          <w:sz w:val="22"/>
          <w:szCs w:val="22"/>
        </w:rPr>
      </w:pPr>
      <w:bookmarkStart w:id="6" w:name="_Toc195880673"/>
      <w:r w:rsidRPr="004C4772">
        <w:rPr>
          <w:sz w:val="22"/>
          <w:szCs w:val="22"/>
        </w:rPr>
        <w:t>Détermination du NC</w:t>
      </w:r>
      <w:bookmarkEnd w:id="6"/>
    </w:p>
    <w:p w:rsidR="006603C4" w:rsidRDefault="006603C4" w:rsidP="006603C4">
      <w:pPr>
        <w:ind w:left="283"/>
      </w:pPr>
      <w:r w:rsidRPr="00031A7B">
        <w:t xml:space="preserve">La valeur de </w:t>
      </w:r>
      <w:r w:rsidRPr="00C1436B">
        <w:t>NC est exprimée en [</w:t>
      </w:r>
      <w:proofErr w:type="spellStart"/>
      <w:r w:rsidRPr="00C1436B">
        <w:t>kWh</w:t>
      </w:r>
      <w:r>
        <w:rPr>
          <w:vertAlign w:val="subscript"/>
        </w:rPr>
        <w:t>utile</w:t>
      </w:r>
      <w:proofErr w:type="spellEnd"/>
      <w:r w:rsidRPr="00C1436B">
        <w:t>] ou [</w:t>
      </w:r>
      <w:proofErr w:type="spellStart"/>
      <w:r w:rsidRPr="00C1436B">
        <w:t>MWh</w:t>
      </w:r>
      <w:r>
        <w:rPr>
          <w:vertAlign w:val="subscript"/>
        </w:rPr>
        <w:t>utile</w:t>
      </w:r>
      <w:proofErr w:type="spellEnd"/>
      <w:r w:rsidRPr="00C1436B">
        <w:t>].</w:t>
      </w:r>
    </w:p>
    <w:p w:rsidR="006603C4" w:rsidRPr="00C1436B" w:rsidRDefault="006603C4" w:rsidP="006603C4">
      <w:pPr>
        <w:ind w:left="283"/>
      </w:pPr>
      <w:r>
        <w:t xml:space="preserve">Elle </w:t>
      </w:r>
      <w:r w:rsidRPr="00C1436B">
        <w:t>correspond à la somme des quantités d’énergie [NC(i)] réellement consommées par production de chaleur pour assurer le chauffage des locaux dans les conditions climatiques de la saison considérée, pendant la période considérée.</w:t>
      </w:r>
    </w:p>
    <w:p w:rsidR="006603C4" w:rsidRPr="00C1436B" w:rsidRDefault="006603C4" w:rsidP="006603C4">
      <w:pPr>
        <w:rPr>
          <w:b/>
        </w:rPr>
      </w:pPr>
      <m:oMathPara>
        <m:oMath>
          <m:r>
            <m:rPr>
              <m:sty m:val="bi"/>
            </m:rPr>
            <w:rPr>
              <w:rFonts w:ascii="Cambria Math" w:hAnsi="Cambria Math"/>
            </w:rPr>
            <m:t xml:space="preserve">NC= </m:t>
          </m:r>
          <m:nary>
            <m:naryPr>
              <m:chr m:val="∑"/>
              <m:limLoc m:val="undOvr"/>
              <m:supHide m:val="1"/>
              <m:ctrlPr>
                <w:rPr>
                  <w:rFonts w:ascii="Cambria Math" w:hAnsi="Cambria Math"/>
                  <w:b/>
                  <w:i/>
                </w:rPr>
              </m:ctrlPr>
            </m:naryPr>
            <m:sub>
              <m:r>
                <m:rPr>
                  <m:sty m:val="bi"/>
                </m:rPr>
                <w:rPr>
                  <w:rFonts w:ascii="Cambria Math" w:hAnsi="Cambria Math"/>
                </w:rPr>
                <m:t>i</m:t>
              </m:r>
            </m:sub>
            <m:sup/>
            <m:e>
              <m:r>
                <m:rPr>
                  <m:sty m:val="bi"/>
                </m:rPr>
                <w:rPr>
                  <w:rFonts w:ascii="Cambria Math" w:hAnsi="Cambria Math"/>
                </w:rPr>
                <m:t>NC(i)</m:t>
              </m:r>
            </m:e>
          </m:nary>
        </m:oMath>
      </m:oMathPara>
    </w:p>
    <w:p w:rsidR="006603C4" w:rsidRPr="00C1436B" w:rsidRDefault="006603C4" w:rsidP="006603C4">
      <w:pPr>
        <w:ind w:left="360"/>
        <w:contextualSpacing/>
      </w:pPr>
      <w:r w:rsidRPr="00C1436B">
        <w:rPr>
          <w:u w:val="single"/>
        </w:rPr>
        <w:t>Avec</w:t>
      </w:r>
      <w:r w:rsidRPr="00C1436B">
        <w:t> :</w:t>
      </w:r>
      <w:r w:rsidRPr="00C1436B">
        <w:tab/>
      </w:r>
    </w:p>
    <w:p w:rsidR="006603C4" w:rsidRDefault="006603C4" w:rsidP="006603C4">
      <w:pPr>
        <w:numPr>
          <w:ilvl w:val="0"/>
          <w:numId w:val="19"/>
        </w:numPr>
        <w:spacing w:line="276" w:lineRule="auto"/>
        <w:ind w:left="720"/>
        <w:contextualSpacing/>
      </w:pPr>
      <w:r w:rsidRPr="00C1436B">
        <w:t>(i) : Production de chaleur</w:t>
      </w:r>
    </w:p>
    <w:p w:rsidR="006603C4" w:rsidRPr="00C1436B" w:rsidRDefault="006603C4" w:rsidP="006603C4">
      <w:pPr>
        <w:numPr>
          <w:ilvl w:val="0"/>
          <w:numId w:val="19"/>
        </w:numPr>
        <w:spacing w:line="276" w:lineRule="auto"/>
        <w:ind w:left="720"/>
        <w:contextualSpacing/>
      </w:pPr>
      <m:oMath>
        <m:r>
          <w:rPr>
            <w:rFonts w:ascii="Cambria Math" w:hAnsi="Cambria Math"/>
          </w:rPr>
          <m:t>NC(i)</m:t>
        </m:r>
      </m:oMath>
      <w:r w:rsidRPr="00B1352A">
        <w:t xml:space="preserve"> : </w:t>
      </w:r>
      <w:r>
        <w:t>Quantité</w:t>
      </w:r>
      <w:r w:rsidRPr="00B1352A">
        <w:t xml:space="preserve"> d’énergie réellement consomm</w:t>
      </w:r>
      <w:r>
        <w:t>ée par la</w:t>
      </w:r>
      <w:r w:rsidRPr="00B1352A">
        <w:t xml:space="preserve"> production (i)</w:t>
      </w:r>
    </w:p>
    <w:p w:rsidR="006603C4" w:rsidRDefault="006603C4" w:rsidP="006603C4">
      <w:pPr>
        <w:ind w:left="360"/>
      </w:pPr>
      <w:r>
        <w:t>Les</w:t>
      </w:r>
      <w:r w:rsidRPr="00C1436B">
        <w:t xml:space="preserve"> valeu</w:t>
      </w:r>
      <w:r>
        <w:t>rs</w:t>
      </w:r>
      <w:r w:rsidRPr="00C1436B">
        <w:t xml:space="preserve"> de </w:t>
      </w:r>
      <w:r>
        <w:t xml:space="preserve">NC et </w:t>
      </w:r>
      <w:r w:rsidRPr="00C1436B">
        <w:t>NC</w:t>
      </w:r>
      <w:r>
        <w:t>(i) son</w:t>
      </w:r>
      <w:r w:rsidRPr="00C1436B">
        <w:t xml:space="preserve">t </w:t>
      </w:r>
      <w:r>
        <w:t>calculées</w:t>
      </w:r>
      <w:r w:rsidRPr="00C1436B">
        <w:t xml:space="preserve"> </w:t>
      </w:r>
      <w:r>
        <w:t xml:space="preserve">à partir </w:t>
      </w:r>
      <w:r w:rsidRPr="00C1436B">
        <w:t xml:space="preserve">des différents relevés </w:t>
      </w:r>
      <w:r>
        <w:t xml:space="preserve">de compteurs </w:t>
      </w:r>
      <w:r w:rsidRPr="00C1436B">
        <w:t>en chaufferie</w:t>
      </w:r>
      <w:r>
        <w:t xml:space="preserve"> et sous-station RCU conformément aux plans de comptage à établir selon les dispositions </w:t>
      </w:r>
      <w:r w:rsidRPr="00644608">
        <w:t xml:space="preserve">du § </w:t>
      </w:r>
      <w:r w:rsidR="002473E0" w:rsidRPr="002473E0">
        <w:t>1.3.</w:t>
      </w:r>
      <w:r w:rsidR="002473E0">
        <w:t>1</w:t>
      </w:r>
      <w:r>
        <w:t>.</w:t>
      </w:r>
    </w:p>
    <w:p w:rsidR="006603C4" w:rsidRPr="004C4772" w:rsidRDefault="006603C4" w:rsidP="006603C4">
      <w:pPr>
        <w:pStyle w:val="Titre3"/>
        <w:tabs>
          <w:tab w:val="clear" w:pos="1077"/>
        </w:tabs>
        <w:spacing w:after="120" w:line="276" w:lineRule="auto"/>
        <w:ind w:left="1843" w:right="-1741" w:hanging="567"/>
        <w:rPr>
          <w:sz w:val="22"/>
          <w:szCs w:val="22"/>
        </w:rPr>
      </w:pPr>
      <w:bookmarkStart w:id="7" w:name="_Toc195880674"/>
      <w:r w:rsidRPr="004C4772">
        <w:rPr>
          <w:sz w:val="22"/>
          <w:szCs w:val="22"/>
        </w:rPr>
        <w:t>Valeur de NB</w:t>
      </w:r>
      <w:bookmarkEnd w:id="7"/>
    </w:p>
    <w:p w:rsidR="006603C4" w:rsidRDefault="006603C4" w:rsidP="006603C4">
      <w:pPr>
        <w:ind w:left="283"/>
        <w:contextualSpacing/>
      </w:pPr>
      <w:r>
        <w:t>La valeur de NB est exprimée en [</w:t>
      </w:r>
      <w:proofErr w:type="spellStart"/>
      <w:r>
        <w:t>kWh</w:t>
      </w:r>
      <w:r>
        <w:rPr>
          <w:vertAlign w:val="subscript"/>
        </w:rPr>
        <w:t>utile</w:t>
      </w:r>
      <w:proofErr w:type="spellEnd"/>
      <w:r>
        <w:t>] ou [</w:t>
      </w:r>
      <w:proofErr w:type="spellStart"/>
      <w:r>
        <w:t>MWh</w:t>
      </w:r>
      <w:r>
        <w:rPr>
          <w:vertAlign w:val="subscript"/>
        </w:rPr>
        <w:t>utile</w:t>
      </w:r>
      <w:proofErr w:type="spellEnd"/>
      <w:r>
        <w:t>].</w:t>
      </w:r>
    </w:p>
    <w:p w:rsidR="006603C4" w:rsidRDefault="006603C4" w:rsidP="006603C4">
      <w:pPr>
        <w:ind w:left="283"/>
        <w:contextualSpacing/>
      </w:pPr>
      <w:r>
        <w:t xml:space="preserve">Elle correspond à l’objectif global de consommation d’énergie sur lequel le Titulaire s’engage pour assurer le chauffage des bâtiments dans les </w:t>
      </w:r>
      <w:r w:rsidRPr="00F5655D">
        <w:t>conditions climatiques de référence</w:t>
      </w:r>
      <w:r>
        <w:t>.</w:t>
      </w:r>
    </w:p>
    <w:p w:rsidR="006603C4" w:rsidRDefault="006603C4" w:rsidP="006603C4">
      <w:pPr>
        <w:ind w:left="283"/>
        <w:contextualSpacing/>
      </w:pPr>
      <w:r>
        <w:t xml:space="preserve">Cette valeur est définie contractuellement </w:t>
      </w:r>
      <w:r w:rsidR="002473E0">
        <w:t>à</w:t>
      </w:r>
      <w:r>
        <w:t xml:space="preserve"> l’issue de l’année de référence.</w:t>
      </w:r>
    </w:p>
    <w:p w:rsidR="006603C4" w:rsidRDefault="006603C4" w:rsidP="006603C4">
      <w:pPr>
        <w:ind w:left="283"/>
        <w:contextualSpacing/>
      </w:pPr>
      <w:r w:rsidRPr="001B76E7">
        <w:t>Cette valeur sera rendue contractuelle par ordre de service à l’issue de l’année de référence.</w:t>
      </w:r>
    </w:p>
    <w:p w:rsidR="006603C4" w:rsidRPr="00DC670C" w:rsidRDefault="006603C4" w:rsidP="006603C4">
      <w:pPr>
        <w:ind w:left="284"/>
        <w:contextualSpacing/>
        <w:rPr>
          <w:highlight w:val="yellow"/>
        </w:rPr>
      </w:pPr>
      <w:r w:rsidRPr="00DC670C">
        <w:rPr>
          <w:highlight w:val="yellow"/>
        </w:rPr>
        <w:t xml:space="preserve">Elle devra être </w:t>
      </w:r>
      <w:r w:rsidRPr="00DC670C">
        <w:rPr>
          <w:b/>
          <w:highlight w:val="yellow"/>
        </w:rPr>
        <w:t>inférieure à 9</w:t>
      </w:r>
      <w:r w:rsidR="00127DEB">
        <w:rPr>
          <w:b/>
          <w:highlight w:val="yellow"/>
        </w:rPr>
        <w:t>5</w:t>
      </w:r>
      <w:r w:rsidRPr="00DC670C">
        <w:rPr>
          <w:b/>
          <w:highlight w:val="yellow"/>
        </w:rPr>
        <w:t xml:space="preserve">% de la consommation de référence </w:t>
      </w:r>
      <w:proofErr w:type="spellStart"/>
      <w:r w:rsidRPr="00DC670C">
        <w:rPr>
          <w:b/>
          <w:highlight w:val="yellow"/>
        </w:rPr>
        <w:t>Créf</w:t>
      </w:r>
      <w:proofErr w:type="spellEnd"/>
      <w:r w:rsidRPr="00DC670C">
        <w:rPr>
          <w:highlight w:val="yellow"/>
        </w:rPr>
        <w:t>.</w:t>
      </w:r>
    </w:p>
    <w:p w:rsidR="006603C4" w:rsidRPr="001E5D41" w:rsidRDefault="006603C4" w:rsidP="006603C4">
      <w:pPr>
        <w:ind w:left="283"/>
        <w:contextualSpacing/>
        <w:rPr>
          <w:b/>
        </w:rPr>
      </w:pPr>
      <m:oMathPara>
        <m:oMath>
          <m:r>
            <m:rPr>
              <m:sty m:val="bi"/>
            </m:rPr>
            <w:rPr>
              <w:rFonts w:ascii="Cambria Math" w:hAnsi="Cambria Math"/>
              <w:highlight w:val="yellow"/>
            </w:rPr>
            <m:t>NB ≤0,95 ×Créf</m:t>
          </m:r>
        </m:oMath>
      </m:oMathPara>
    </w:p>
    <w:p w:rsidR="006603C4" w:rsidRDefault="006603C4" w:rsidP="006603C4">
      <w:pPr>
        <w:spacing w:before="240"/>
        <w:ind w:left="284"/>
      </w:pPr>
      <w:r>
        <w:t>Seront données à titre indicatif par le Titulaire, les différentes valeurs NB(i) associées à chaque production(i) ayant servi à l’établissement de la valeur de NB.</w:t>
      </w:r>
    </w:p>
    <w:p w:rsidR="006603C4" w:rsidRPr="00925EFC" w:rsidRDefault="006603C4" w:rsidP="006603C4">
      <w:pPr>
        <w:rPr>
          <w:b/>
        </w:rPr>
      </w:pPr>
      <m:oMathPara>
        <m:oMath>
          <m:r>
            <m:rPr>
              <m:sty m:val="bi"/>
            </m:rPr>
            <w:rPr>
              <w:rFonts w:ascii="Cambria Math" w:hAnsi="Cambria Math"/>
            </w:rPr>
            <m:t xml:space="preserve">NB= </m:t>
          </m:r>
          <m:nary>
            <m:naryPr>
              <m:chr m:val="∑"/>
              <m:limLoc m:val="undOvr"/>
              <m:supHide m:val="1"/>
              <m:ctrlPr>
                <w:rPr>
                  <w:rFonts w:ascii="Cambria Math" w:hAnsi="Cambria Math"/>
                  <w:b/>
                  <w:i/>
                </w:rPr>
              </m:ctrlPr>
            </m:naryPr>
            <m:sub>
              <m:r>
                <m:rPr>
                  <m:sty m:val="bi"/>
                </m:rPr>
                <w:rPr>
                  <w:rFonts w:ascii="Cambria Math" w:hAnsi="Cambria Math"/>
                </w:rPr>
                <m:t>i</m:t>
              </m:r>
            </m:sub>
            <m:sup/>
            <m:e>
              <m:r>
                <m:rPr>
                  <m:sty m:val="bi"/>
                </m:rPr>
                <w:rPr>
                  <w:rFonts w:ascii="Cambria Math" w:hAnsi="Cambria Math"/>
                </w:rPr>
                <m:t>NB(i)</m:t>
              </m:r>
            </m:e>
          </m:nary>
        </m:oMath>
      </m:oMathPara>
    </w:p>
    <w:p w:rsidR="006603C4" w:rsidRPr="00925EFC" w:rsidRDefault="006603C4" w:rsidP="006603C4">
      <w:pPr>
        <w:keepNext/>
        <w:ind w:left="360"/>
        <w:contextualSpacing/>
      </w:pPr>
      <w:r w:rsidRPr="00925EFC">
        <w:rPr>
          <w:u w:val="single"/>
        </w:rPr>
        <w:lastRenderedPageBreak/>
        <w:t>Avec</w:t>
      </w:r>
      <w:r w:rsidRPr="00925EFC">
        <w:t> :</w:t>
      </w:r>
      <w:r w:rsidRPr="00925EFC">
        <w:tab/>
      </w:r>
    </w:p>
    <w:p w:rsidR="006603C4" w:rsidRPr="00925EFC" w:rsidRDefault="006603C4" w:rsidP="006603C4">
      <w:pPr>
        <w:keepNext/>
        <w:numPr>
          <w:ilvl w:val="0"/>
          <w:numId w:val="19"/>
        </w:numPr>
        <w:spacing w:line="276" w:lineRule="auto"/>
        <w:ind w:left="720"/>
        <w:contextualSpacing/>
      </w:pPr>
      <w:r w:rsidRPr="00925EFC">
        <w:t>(i) : Production de chaleur</w:t>
      </w:r>
    </w:p>
    <w:p w:rsidR="006603C4" w:rsidRPr="00031A7B" w:rsidRDefault="006603C4" w:rsidP="006603C4">
      <w:pPr>
        <w:keepNext/>
        <w:numPr>
          <w:ilvl w:val="0"/>
          <w:numId w:val="19"/>
        </w:numPr>
        <w:spacing w:line="276" w:lineRule="auto"/>
        <w:ind w:left="720"/>
        <w:contextualSpacing/>
      </w:pPr>
      <m:oMath>
        <m:r>
          <w:rPr>
            <w:rFonts w:ascii="Cambria Math" w:hAnsi="Cambria Math"/>
          </w:rPr>
          <m:t>NB(i)</m:t>
        </m:r>
      </m:oMath>
      <w:r w:rsidRPr="00925EFC">
        <w:t xml:space="preserve"> : </w:t>
      </w:r>
      <w:r w:rsidRPr="00F5655D">
        <w:t xml:space="preserve">Quantité d’énergie théoriquement nécessaire </w:t>
      </w:r>
      <w:r>
        <w:t xml:space="preserve">au chauffage </w:t>
      </w:r>
      <w:r w:rsidRPr="00F5655D">
        <w:t>dans les conditions climatiques de référence</w:t>
      </w:r>
      <w:r>
        <w:t>,</w:t>
      </w:r>
      <w:r w:rsidRPr="00F5655D">
        <w:t xml:space="preserve"> </w:t>
      </w:r>
      <w:r>
        <w:t xml:space="preserve">associée à </w:t>
      </w:r>
      <w:r w:rsidRPr="00925EFC">
        <w:t>la production (i)</w:t>
      </w:r>
    </w:p>
    <w:p w:rsidR="006603C4" w:rsidRPr="004C4772" w:rsidRDefault="006603C4" w:rsidP="006603C4">
      <w:pPr>
        <w:pStyle w:val="Titre3"/>
        <w:tabs>
          <w:tab w:val="clear" w:pos="1077"/>
        </w:tabs>
        <w:spacing w:after="120" w:line="276" w:lineRule="auto"/>
        <w:ind w:left="1843" w:right="-1741" w:hanging="567"/>
        <w:rPr>
          <w:sz w:val="22"/>
          <w:szCs w:val="22"/>
        </w:rPr>
      </w:pPr>
      <w:bookmarkStart w:id="8" w:name="_Toc195880675"/>
      <w:r w:rsidRPr="004C4772">
        <w:rPr>
          <w:sz w:val="22"/>
          <w:szCs w:val="22"/>
        </w:rPr>
        <w:t>Détermination du N’B</w:t>
      </w:r>
      <w:bookmarkEnd w:id="8"/>
    </w:p>
    <w:p w:rsidR="006603C4" w:rsidRDefault="006603C4" w:rsidP="006603C4">
      <w:pPr>
        <w:ind w:left="283"/>
      </w:pPr>
      <w:r>
        <w:t>La valeur de N’B</w:t>
      </w:r>
      <w:r w:rsidRPr="004939AE">
        <w:t xml:space="preserve"> est exprimée en [</w:t>
      </w:r>
      <w:proofErr w:type="spellStart"/>
      <w:r w:rsidRPr="004939AE">
        <w:t>kWh</w:t>
      </w:r>
      <w:r>
        <w:rPr>
          <w:vertAlign w:val="subscript"/>
        </w:rPr>
        <w:t>utile</w:t>
      </w:r>
      <w:proofErr w:type="spellEnd"/>
      <w:r w:rsidRPr="004939AE">
        <w:t>] ou [</w:t>
      </w:r>
      <w:proofErr w:type="spellStart"/>
      <w:r w:rsidRPr="004939AE">
        <w:t>MWh</w:t>
      </w:r>
      <w:r>
        <w:rPr>
          <w:vertAlign w:val="subscript"/>
        </w:rPr>
        <w:t>utile</w:t>
      </w:r>
      <w:proofErr w:type="spellEnd"/>
      <w:r w:rsidRPr="004939AE">
        <w:t>].</w:t>
      </w:r>
    </w:p>
    <w:p w:rsidR="006603C4" w:rsidRDefault="006603C4" w:rsidP="006603C4">
      <w:pPr>
        <w:ind w:left="283"/>
      </w:pPr>
      <w:r>
        <w:t xml:space="preserve">La quantité théorique d’énergie nécessaire au chauffage des bâtiments N'B pour l'année (n) est définie comme suit : </w:t>
      </w:r>
    </w:p>
    <w:p w:rsidR="006603C4" w:rsidRPr="009104F4" w:rsidRDefault="006603C4" w:rsidP="006603C4">
      <w:pPr>
        <w:ind w:left="283"/>
        <w:rPr>
          <w:b/>
        </w:rPr>
      </w:pPr>
      <m:oMathPara>
        <m:oMath>
          <m:r>
            <m:rPr>
              <m:sty m:val="bi"/>
            </m:rPr>
            <w:rPr>
              <w:rFonts w:ascii="Cambria Math" w:hAnsi="Cambria Math"/>
            </w:rPr>
            <m:t xml:space="preserve">N'B= </m:t>
          </m:r>
          <m:nary>
            <m:naryPr>
              <m:chr m:val="∑"/>
              <m:limLoc m:val="undOvr"/>
              <m:supHide m:val="1"/>
              <m:ctrlPr>
                <w:rPr>
                  <w:rFonts w:ascii="Cambria Math" w:hAnsi="Cambria Math"/>
                  <w:b/>
                  <w:i/>
                </w:rPr>
              </m:ctrlPr>
            </m:naryPr>
            <m:sub>
              <m:r>
                <m:rPr>
                  <m:sty m:val="bi"/>
                </m:rPr>
                <w:rPr>
                  <w:rFonts w:ascii="Cambria Math" w:hAnsi="Cambria Math"/>
                </w:rPr>
                <m:t>i</m:t>
              </m:r>
            </m:sub>
            <m:sup/>
            <m:e>
              <m:d>
                <m:dPr>
                  <m:ctrlPr>
                    <w:rPr>
                      <w:rFonts w:ascii="Cambria Math" w:hAnsi="Cambria Math"/>
                      <w:b/>
                      <w:i/>
                    </w:rPr>
                  </m:ctrlPr>
                </m:dPr>
                <m:e>
                  <m:r>
                    <m:rPr>
                      <m:sty m:val="bi"/>
                    </m:rPr>
                    <w:rPr>
                      <w:rFonts w:ascii="Cambria Math" w:hAnsi="Cambria Math"/>
                    </w:rPr>
                    <m:t>NB</m:t>
                  </m:r>
                  <m:d>
                    <m:dPr>
                      <m:ctrlPr>
                        <w:rPr>
                          <w:rFonts w:ascii="Cambria Math" w:hAnsi="Cambria Math"/>
                          <w:b/>
                          <w:i/>
                        </w:rPr>
                      </m:ctrlPr>
                    </m:dPr>
                    <m:e>
                      <m:r>
                        <m:rPr>
                          <m:sty m:val="bi"/>
                        </m:rPr>
                        <w:rPr>
                          <w:rFonts w:ascii="Cambria Math" w:hAnsi="Cambria Math"/>
                        </w:rPr>
                        <m:t>i</m:t>
                      </m:r>
                    </m:e>
                  </m:d>
                  <m:r>
                    <m:rPr>
                      <m:sty m:val="bi"/>
                    </m:rPr>
                    <w:rPr>
                      <w:rFonts w:ascii="Cambria Math" w:hAnsi="Cambria Math"/>
                    </w:rPr>
                    <m:t>×</m:t>
                  </m:r>
                  <m:sSub>
                    <m:sSubPr>
                      <m:ctrlPr>
                        <w:rPr>
                          <w:rFonts w:ascii="Cambria Math" w:hAnsi="Cambria Math"/>
                          <w:b/>
                          <w:i/>
                        </w:rPr>
                      </m:ctrlPr>
                    </m:sSubPr>
                    <m:e>
                      <m:d>
                        <m:dPr>
                          <m:begChr m:val="["/>
                          <m:endChr m:val="]"/>
                          <m:ctrlPr>
                            <w:rPr>
                              <w:rFonts w:ascii="Cambria Math" w:hAnsi="Cambria Math"/>
                              <w:b/>
                              <w:i/>
                            </w:rPr>
                          </m:ctrlPr>
                        </m:dPr>
                        <m:e>
                          <m:f>
                            <m:fPr>
                              <m:ctrlPr>
                                <w:rPr>
                                  <w:rFonts w:ascii="Cambria Math" w:hAnsi="Cambria Math"/>
                                  <w:b/>
                                  <w:i/>
                                </w:rPr>
                              </m:ctrlPr>
                            </m:fPr>
                            <m:num>
                              <m:r>
                                <m:rPr>
                                  <m:sty m:val="bi"/>
                                </m:rPr>
                                <w:rPr>
                                  <w:rFonts w:ascii="Cambria Math" w:hAnsi="Cambria Math"/>
                                </w:rPr>
                                <m:t>DJUréels (n)</m:t>
                              </m:r>
                            </m:num>
                            <m:den>
                              <m:r>
                                <m:rPr>
                                  <m:sty m:val="bi"/>
                                </m:rPr>
                                <w:rPr>
                                  <w:rFonts w:ascii="Cambria Math" w:hAnsi="Cambria Math"/>
                                </w:rPr>
                                <m:t>DJUréférence</m:t>
                              </m:r>
                            </m:den>
                          </m:f>
                        </m:e>
                      </m:d>
                    </m:e>
                    <m:sub>
                      <m:r>
                        <m:rPr>
                          <m:sty m:val="bi"/>
                        </m:rPr>
                        <w:rPr>
                          <w:rFonts w:ascii="Cambria Math" w:hAnsi="Cambria Math"/>
                        </w:rPr>
                        <m:t>i</m:t>
                      </m:r>
                    </m:sub>
                  </m:sSub>
                </m:e>
              </m:d>
            </m:e>
          </m:nary>
        </m:oMath>
      </m:oMathPara>
    </w:p>
    <w:p w:rsidR="006603C4" w:rsidRDefault="006603C4" w:rsidP="006603C4">
      <w:pPr>
        <w:ind w:left="283"/>
      </w:pPr>
    </w:p>
    <w:p w:rsidR="006603C4" w:rsidRPr="00BB4E3D" w:rsidRDefault="006603C4" w:rsidP="006603C4">
      <w:pPr>
        <w:keepNext/>
        <w:ind w:left="360"/>
        <w:contextualSpacing/>
      </w:pPr>
      <w:r w:rsidRPr="00BB4E3D">
        <w:rPr>
          <w:u w:val="single"/>
        </w:rPr>
        <w:t>Avec</w:t>
      </w:r>
      <w:r w:rsidRPr="00BB4E3D">
        <w:t> :</w:t>
      </w:r>
      <w:r w:rsidRPr="00BB4E3D">
        <w:tab/>
      </w:r>
    </w:p>
    <w:p w:rsidR="006603C4" w:rsidRPr="00BB4E3D" w:rsidRDefault="006603C4" w:rsidP="006603C4">
      <w:pPr>
        <w:keepNext/>
        <w:numPr>
          <w:ilvl w:val="0"/>
          <w:numId w:val="19"/>
        </w:numPr>
        <w:spacing w:line="276" w:lineRule="auto"/>
        <w:ind w:left="714" w:hanging="357"/>
        <w:contextualSpacing/>
      </w:pPr>
      <w:r w:rsidRPr="00BB4E3D">
        <w:t>(i) : Production de chaleur</w:t>
      </w:r>
    </w:p>
    <w:p w:rsidR="006603C4" w:rsidRDefault="006603C4" w:rsidP="006603C4">
      <w:pPr>
        <w:keepNext/>
        <w:numPr>
          <w:ilvl w:val="0"/>
          <w:numId w:val="19"/>
        </w:numPr>
        <w:spacing w:line="276" w:lineRule="auto"/>
        <w:ind w:left="714" w:hanging="357"/>
        <w:contextualSpacing/>
      </w:pPr>
      <m:oMath>
        <m:r>
          <w:rPr>
            <w:rFonts w:ascii="Cambria Math" w:hAnsi="Cambria Math"/>
          </w:rPr>
          <m:t>NB(i)</m:t>
        </m:r>
      </m:oMath>
      <w:r w:rsidRPr="00BB4E3D">
        <w:t> : Quantité d’énergie théoriquement nécessaire au chauffage dans les conditions climatiques de référence, associée à la production (i)</w:t>
      </w:r>
    </w:p>
    <w:p w:rsidR="006603C4" w:rsidRPr="00031A7B" w:rsidRDefault="006603C4" w:rsidP="006603C4">
      <w:pPr>
        <w:numPr>
          <w:ilvl w:val="0"/>
          <w:numId w:val="19"/>
        </w:numPr>
        <w:spacing w:line="276" w:lineRule="auto"/>
        <w:ind w:left="714" w:hanging="357"/>
        <w:contextualSpacing/>
      </w:pPr>
      <w:r>
        <w:t>[</w:t>
      </w:r>
      <w:proofErr w:type="spellStart"/>
      <w:r>
        <w:t>DJUréels</w:t>
      </w:r>
      <w:proofErr w:type="spellEnd"/>
      <w:r>
        <w:t xml:space="preserve"> (n) et </w:t>
      </w:r>
      <w:proofErr w:type="spellStart"/>
      <w:proofErr w:type="gramStart"/>
      <w:r>
        <w:t>DJUréférence</w:t>
      </w:r>
      <w:proofErr w:type="spellEnd"/>
      <w:r>
        <w:t>]</w:t>
      </w:r>
      <w:r w:rsidRPr="00CA0803">
        <w:rPr>
          <w:vertAlign w:val="subscript"/>
        </w:rPr>
        <w:t>i</w:t>
      </w:r>
      <w:proofErr w:type="gramEnd"/>
      <w:r>
        <w:t> :</w:t>
      </w:r>
      <w:r w:rsidRPr="00CA0803">
        <w:t xml:space="preserve"> </w:t>
      </w:r>
      <w:proofErr w:type="spellStart"/>
      <w:r w:rsidRPr="00CA0803">
        <w:t>DJUréels</w:t>
      </w:r>
      <w:proofErr w:type="spellEnd"/>
      <w:r w:rsidRPr="00CA0803">
        <w:t xml:space="preserve"> (n) et </w:t>
      </w:r>
      <w:proofErr w:type="spellStart"/>
      <w:r w:rsidRPr="00CA0803">
        <w:t>DJUréférence</w:t>
      </w:r>
      <w:proofErr w:type="spellEnd"/>
      <w:r w:rsidRPr="00CA0803">
        <w:t xml:space="preserve"> </w:t>
      </w:r>
      <w:r>
        <w:t xml:space="preserve">associés </w:t>
      </w:r>
      <w:r w:rsidRPr="00CA0803">
        <w:t>à la production (i)</w:t>
      </w:r>
    </w:p>
    <w:p w:rsidR="006603C4" w:rsidRDefault="006603C4" w:rsidP="006603C4"/>
    <w:p w:rsidR="00E30EED" w:rsidRDefault="00E30EED" w:rsidP="00E30EED">
      <w:pPr>
        <w:pStyle w:val="Paragraphedeliste"/>
        <w:rPr>
          <w:rFonts w:ascii="Times New Roman" w:hAnsi="Times New Roman"/>
        </w:rPr>
      </w:pPr>
    </w:p>
    <w:p w:rsidR="006603C4" w:rsidRPr="004C4772" w:rsidRDefault="006603C4" w:rsidP="006603C4">
      <w:pPr>
        <w:pStyle w:val="Titre3"/>
        <w:numPr>
          <w:ilvl w:val="2"/>
          <w:numId w:val="22"/>
        </w:numPr>
        <w:spacing w:after="120" w:line="276" w:lineRule="auto"/>
        <w:ind w:right="-1741"/>
        <w:rPr>
          <w:sz w:val="22"/>
          <w:szCs w:val="22"/>
        </w:rPr>
      </w:pPr>
      <w:bookmarkStart w:id="9" w:name="_Toc195880676"/>
      <w:r w:rsidRPr="004C4772">
        <w:rPr>
          <w:sz w:val="22"/>
          <w:szCs w:val="22"/>
        </w:rPr>
        <w:t>Calcul des DJU pour la période de chauffe</w:t>
      </w:r>
      <w:bookmarkEnd w:id="9"/>
    </w:p>
    <w:p w:rsidR="006603C4" w:rsidRDefault="006603C4" w:rsidP="006603C4">
      <w:pPr>
        <w:ind w:left="283"/>
      </w:pPr>
      <w:r>
        <w:t>L</w:t>
      </w:r>
      <w:r w:rsidRPr="00754887">
        <w:t>a station météorolog</w:t>
      </w:r>
      <w:r>
        <w:t xml:space="preserve">ique de référence </w:t>
      </w:r>
      <w:r w:rsidRPr="00754887">
        <w:t>est la station de BREST GUIPAVAS</w:t>
      </w:r>
      <w:r>
        <w:t>.</w:t>
      </w:r>
    </w:p>
    <w:p w:rsidR="006603C4" w:rsidRDefault="006603C4" w:rsidP="006603C4">
      <w:pPr>
        <w:ind w:left="283"/>
      </w:pPr>
      <w:r>
        <w:t xml:space="preserve">Le calcul des DJU (de base 18) pour la période de chauffe </w:t>
      </w:r>
      <w:r w:rsidRPr="006603C4">
        <w:t>se fait sur une saison de chauffe</w:t>
      </w:r>
      <w:r>
        <w:t>.</w:t>
      </w:r>
    </w:p>
    <w:p w:rsidR="006603C4" w:rsidRDefault="006603C4" w:rsidP="006603C4">
      <w:pPr>
        <w:ind w:left="283"/>
      </w:pPr>
      <w:r w:rsidRPr="008E505D">
        <w:t xml:space="preserve">Les DJU à prendre en compte pour la période </w:t>
      </w:r>
      <w:r>
        <w:t xml:space="preserve">effective </w:t>
      </w:r>
      <w:r w:rsidRPr="008E505D">
        <w:t>de chauffage sont ceux allant</w:t>
      </w:r>
      <w:r>
        <w:t xml:space="preserve"> du 01 </w:t>
      </w:r>
      <w:r w:rsidR="00DC670C">
        <w:t xml:space="preserve">octobre </w:t>
      </w:r>
      <w:r>
        <w:t>à</w:t>
      </w:r>
      <w:r w:rsidRPr="00083539">
        <w:t xml:space="preserve"> </w:t>
      </w:r>
      <w:r w:rsidRPr="008E505D">
        <w:t xml:space="preserve">la date de mise à </w:t>
      </w:r>
      <w:r w:rsidR="00DC670C">
        <w:t>en service</w:t>
      </w:r>
      <w:r w:rsidRPr="008E505D">
        <w:t xml:space="preserve"> des installations, </w:t>
      </w:r>
      <w:r>
        <w:t xml:space="preserve">et </w:t>
      </w:r>
      <w:r w:rsidRPr="008E505D">
        <w:t>de la date d</w:t>
      </w:r>
      <w:r>
        <w:t xml:space="preserve">e mise </w:t>
      </w:r>
      <w:r w:rsidR="00DC670C">
        <w:t>à l’arrêt</w:t>
      </w:r>
      <w:r>
        <w:t xml:space="preserve"> du chauffage au </w:t>
      </w:r>
      <w:r w:rsidR="00DC670C">
        <w:t>01 mai</w:t>
      </w:r>
      <w:r>
        <w:t>.</w:t>
      </w:r>
      <w:r w:rsidRPr="008E505D">
        <w:t xml:space="preserve"> </w:t>
      </w:r>
    </w:p>
    <w:p w:rsidR="006603C4" w:rsidRDefault="006603C4" w:rsidP="006603C4">
      <w:pPr>
        <w:ind w:left="283"/>
      </w:pPr>
      <w:r w:rsidRPr="008E505D">
        <w:t>Les DJU des jours de mise en chauffe et d’arrêt des installations ne sont pas comptabilisés.</w:t>
      </w:r>
    </w:p>
    <w:p w:rsidR="004C4772" w:rsidRDefault="006603C4" w:rsidP="004C4772">
      <w:pPr>
        <w:ind w:left="284"/>
      </w:pPr>
      <w:r w:rsidRPr="00926A9C">
        <w:t>A titre indicatif, les dernières périodes de chauffe et DJU correspondants sont donnés ci-après :</w:t>
      </w:r>
    </w:p>
    <w:p w:rsidR="004C4772" w:rsidRDefault="004C4772" w:rsidP="004C4772">
      <w:pPr>
        <w:ind w:left="284"/>
      </w:pPr>
    </w:p>
    <w:p w:rsidR="004C4772" w:rsidRDefault="004C4772" w:rsidP="004C4772">
      <w:pPr>
        <w:ind w:left="284"/>
      </w:pPr>
    </w:p>
    <w:p w:rsidR="004C4772" w:rsidRDefault="004C4772" w:rsidP="004C4772">
      <w:pPr>
        <w:ind w:left="284"/>
      </w:pPr>
    </w:p>
    <w:p w:rsidR="004C4772" w:rsidRDefault="004C4772" w:rsidP="004C4772">
      <w:pPr>
        <w:ind w:left="284"/>
      </w:pPr>
    </w:p>
    <w:p w:rsidR="004C4772" w:rsidRDefault="004C4772" w:rsidP="004C4772">
      <w:pPr>
        <w:ind w:left="284"/>
      </w:pPr>
    </w:p>
    <w:p w:rsidR="004C4772" w:rsidRDefault="004C4772" w:rsidP="004C4772">
      <w:pPr>
        <w:ind w:left="284"/>
      </w:pPr>
    </w:p>
    <w:p w:rsidR="004C4772" w:rsidRDefault="004C4772" w:rsidP="004C4772">
      <w:pPr>
        <w:ind w:left="284"/>
      </w:pPr>
    </w:p>
    <w:p w:rsidR="004C4772" w:rsidRDefault="004C4772" w:rsidP="004C4772">
      <w:pPr>
        <w:ind w:left="284"/>
      </w:pPr>
    </w:p>
    <w:p w:rsidR="0044498A" w:rsidRPr="005F5A3C" w:rsidRDefault="0044498A" w:rsidP="0044498A">
      <w:pPr>
        <w:pStyle w:val="Titre1"/>
        <w:numPr>
          <w:ilvl w:val="0"/>
          <w:numId w:val="0"/>
        </w:numPr>
      </w:pPr>
      <w:r w:rsidRPr="005F5A3C">
        <w:lastRenderedPageBreak/>
        <w:t>Valeurs des DJU sur la saison de chauffe</w:t>
      </w:r>
    </w:p>
    <w:p w:rsidR="0044498A" w:rsidRPr="005F5A3C" w:rsidRDefault="0044498A" w:rsidP="0044498A">
      <w:pPr>
        <w:pStyle w:val="Paragraphedeliste"/>
        <w:numPr>
          <w:ilvl w:val="0"/>
          <w:numId w:val="16"/>
        </w:numPr>
      </w:pPr>
      <w:r w:rsidRPr="005F5A3C">
        <w:rPr>
          <w:rFonts w:ascii="Times New Roman" w:hAnsi="Times New Roman"/>
        </w:rPr>
        <w:t>Station météo : BREST GUIPAVAS</w:t>
      </w:r>
    </w:p>
    <w:p w:rsidR="0044498A" w:rsidRPr="006603C4" w:rsidRDefault="0044498A" w:rsidP="0044498A">
      <w:pPr>
        <w:pStyle w:val="Paragraphedeliste"/>
        <w:numPr>
          <w:ilvl w:val="0"/>
          <w:numId w:val="16"/>
        </w:numPr>
        <w:spacing w:after="120"/>
        <w:ind w:left="714" w:hanging="357"/>
        <w:rPr>
          <w:b/>
        </w:rPr>
      </w:pPr>
      <w:r w:rsidRPr="006603C4">
        <w:rPr>
          <w:rFonts w:ascii="Times New Roman" w:hAnsi="Times New Roman"/>
          <w:b/>
        </w:rPr>
        <w:t>Saison de chauffe : du 1</w:t>
      </w:r>
      <w:r w:rsidRPr="006603C4">
        <w:rPr>
          <w:rFonts w:ascii="Times New Roman" w:hAnsi="Times New Roman"/>
          <w:b/>
          <w:vertAlign w:val="superscript"/>
        </w:rPr>
        <w:t>er</w:t>
      </w:r>
      <w:r w:rsidRPr="006603C4">
        <w:rPr>
          <w:rFonts w:ascii="Times New Roman" w:hAnsi="Times New Roman"/>
          <w:b/>
        </w:rPr>
        <w:t xml:space="preserve"> Octobre au 1</w:t>
      </w:r>
      <w:r w:rsidRPr="006603C4">
        <w:rPr>
          <w:rFonts w:ascii="Times New Roman" w:hAnsi="Times New Roman"/>
          <w:b/>
          <w:vertAlign w:val="superscript"/>
        </w:rPr>
        <w:t>er</w:t>
      </w:r>
      <w:r w:rsidR="002B4ADF" w:rsidRPr="006603C4">
        <w:rPr>
          <w:rFonts w:ascii="Times New Roman" w:hAnsi="Times New Roman"/>
          <w:b/>
        </w:rPr>
        <w:t xml:space="preserve"> Mai</w:t>
      </w:r>
    </w:p>
    <w:p w:rsidR="002B4ADF" w:rsidRDefault="002B4ADF" w:rsidP="002B4ADF">
      <w:pPr>
        <w:pStyle w:val="Paragraphedeliste"/>
        <w:spacing w:after="120"/>
        <w:ind w:left="0"/>
        <w:rPr>
          <w:rFonts w:ascii="Times New Roman" w:hAnsi="Times New Roman"/>
        </w:rPr>
      </w:pPr>
    </w:p>
    <w:tbl>
      <w:tblPr>
        <w:tblW w:w="4369" w:type="dxa"/>
        <w:tblInd w:w="80" w:type="dxa"/>
        <w:tblCellMar>
          <w:left w:w="70" w:type="dxa"/>
          <w:right w:w="70" w:type="dxa"/>
        </w:tblCellMar>
        <w:tblLook w:val="04A0" w:firstRow="1" w:lastRow="0" w:firstColumn="1" w:lastColumn="0" w:noHBand="0" w:noVBand="1"/>
      </w:tblPr>
      <w:tblGrid>
        <w:gridCol w:w="1119"/>
        <w:gridCol w:w="1180"/>
        <w:gridCol w:w="1180"/>
        <w:gridCol w:w="1180"/>
      </w:tblGrid>
      <w:tr w:rsidR="002B4ADF" w:rsidRPr="002B4ADF" w:rsidTr="002B4ADF">
        <w:trPr>
          <w:trHeight w:val="315"/>
        </w:trPr>
        <w:tc>
          <w:tcPr>
            <w:tcW w:w="10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Mois</w:t>
            </w:r>
          </w:p>
        </w:tc>
        <w:tc>
          <w:tcPr>
            <w:tcW w:w="3360" w:type="dxa"/>
            <w:gridSpan w:val="3"/>
            <w:tcBorders>
              <w:top w:val="single" w:sz="8" w:space="0" w:color="auto"/>
              <w:left w:val="nil"/>
              <w:bottom w:val="single" w:sz="8" w:space="0" w:color="auto"/>
              <w:right w:val="single" w:sz="8" w:space="0" w:color="000000"/>
            </w:tcBorders>
            <w:shd w:val="clear" w:color="000000" w:fill="F2F2F2"/>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Saison de chauffe</w:t>
            </w:r>
          </w:p>
        </w:tc>
      </w:tr>
      <w:tr w:rsidR="002B4ADF" w:rsidRPr="002B4ADF" w:rsidTr="002B4ADF">
        <w:trPr>
          <w:trHeight w:val="315"/>
        </w:trPr>
        <w:tc>
          <w:tcPr>
            <w:tcW w:w="1009" w:type="dxa"/>
            <w:vMerge/>
            <w:tcBorders>
              <w:top w:val="single" w:sz="8" w:space="0" w:color="auto"/>
              <w:left w:val="single" w:sz="8" w:space="0" w:color="auto"/>
              <w:bottom w:val="single" w:sz="8" w:space="0" w:color="000000"/>
              <w:right w:val="single" w:sz="8" w:space="0" w:color="auto"/>
            </w:tcBorders>
            <w:vAlign w:val="center"/>
            <w:hideMark/>
          </w:tcPr>
          <w:p w:rsidR="002B4ADF" w:rsidRPr="002B4ADF" w:rsidRDefault="002B4ADF" w:rsidP="002B4ADF">
            <w:pPr>
              <w:spacing w:before="0" w:after="0"/>
              <w:jc w:val="left"/>
              <w:rPr>
                <w:rFonts w:cs="Arial"/>
                <w:color w:val="000000"/>
                <w:szCs w:val="22"/>
              </w:rPr>
            </w:pPr>
          </w:p>
        </w:tc>
        <w:tc>
          <w:tcPr>
            <w:tcW w:w="1120" w:type="dxa"/>
            <w:tcBorders>
              <w:top w:val="nil"/>
              <w:left w:val="nil"/>
              <w:bottom w:val="single" w:sz="8" w:space="0" w:color="auto"/>
              <w:right w:val="single" w:sz="8" w:space="0" w:color="auto"/>
            </w:tcBorders>
            <w:shd w:val="clear" w:color="000000" w:fill="F2F2F2"/>
            <w:noWrap/>
            <w:vAlign w:val="center"/>
            <w:hideMark/>
          </w:tcPr>
          <w:p w:rsidR="002B4ADF" w:rsidRPr="002B4ADF" w:rsidRDefault="002B4ADF" w:rsidP="002B4ADF">
            <w:pPr>
              <w:spacing w:before="0" w:after="0"/>
              <w:rPr>
                <w:rFonts w:cs="Arial"/>
                <w:color w:val="000000"/>
                <w:szCs w:val="22"/>
              </w:rPr>
            </w:pPr>
            <w:r w:rsidRPr="002B4ADF">
              <w:rPr>
                <w:rFonts w:cs="Arial"/>
                <w:color w:val="000000"/>
                <w:szCs w:val="22"/>
              </w:rPr>
              <w:t>2022/2023</w:t>
            </w:r>
          </w:p>
        </w:tc>
        <w:tc>
          <w:tcPr>
            <w:tcW w:w="1120" w:type="dxa"/>
            <w:tcBorders>
              <w:top w:val="nil"/>
              <w:left w:val="nil"/>
              <w:bottom w:val="single" w:sz="8" w:space="0" w:color="auto"/>
              <w:right w:val="single" w:sz="8" w:space="0" w:color="auto"/>
            </w:tcBorders>
            <w:shd w:val="clear" w:color="000000" w:fill="F2F2F2"/>
            <w:noWrap/>
            <w:vAlign w:val="center"/>
            <w:hideMark/>
          </w:tcPr>
          <w:p w:rsidR="002B4ADF" w:rsidRPr="002B4ADF" w:rsidRDefault="002B4ADF" w:rsidP="002B4ADF">
            <w:pPr>
              <w:spacing w:before="0" w:after="0"/>
              <w:rPr>
                <w:rFonts w:cs="Arial"/>
                <w:color w:val="000000"/>
                <w:szCs w:val="22"/>
              </w:rPr>
            </w:pPr>
            <w:r w:rsidRPr="002B4ADF">
              <w:rPr>
                <w:rFonts w:cs="Arial"/>
                <w:color w:val="000000"/>
                <w:szCs w:val="22"/>
              </w:rPr>
              <w:t>2023/2024</w:t>
            </w:r>
          </w:p>
        </w:tc>
        <w:tc>
          <w:tcPr>
            <w:tcW w:w="1120" w:type="dxa"/>
            <w:tcBorders>
              <w:top w:val="nil"/>
              <w:left w:val="nil"/>
              <w:bottom w:val="single" w:sz="8" w:space="0" w:color="auto"/>
              <w:right w:val="single" w:sz="8" w:space="0" w:color="auto"/>
            </w:tcBorders>
            <w:shd w:val="clear" w:color="000000" w:fill="F2F2F2"/>
            <w:noWrap/>
            <w:vAlign w:val="center"/>
            <w:hideMark/>
          </w:tcPr>
          <w:p w:rsidR="002B4ADF" w:rsidRPr="002B4ADF" w:rsidRDefault="002B4ADF" w:rsidP="002B4ADF">
            <w:pPr>
              <w:spacing w:before="0" w:after="0"/>
              <w:rPr>
                <w:rFonts w:cs="Arial"/>
                <w:color w:val="000000"/>
                <w:szCs w:val="22"/>
              </w:rPr>
            </w:pPr>
            <w:r w:rsidRPr="002B4ADF">
              <w:rPr>
                <w:rFonts w:cs="Arial"/>
                <w:color w:val="000000"/>
                <w:szCs w:val="22"/>
              </w:rPr>
              <w:t>2024/2025</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octobre</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99</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127</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151</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novembre</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195</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232</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215</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décembre</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355</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251</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294</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janvier</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329</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352</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362</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février</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291</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234</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286</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mars</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272</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267</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262</w:t>
            </w:r>
          </w:p>
        </w:tc>
      </w:tr>
      <w:tr w:rsidR="002B4ADF" w:rsidRPr="002B4ADF" w:rsidTr="002B4ADF">
        <w:trPr>
          <w:trHeight w:val="315"/>
        </w:trPr>
        <w:tc>
          <w:tcPr>
            <w:tcW w:w="1009" w:type="dxa"/>
            <w:tcBorders>
              <w:top w:val="nil"/>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avril</w:t>
            </w: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223</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222</w:t>
            </w:r>
          </w:p>
        </w:tc>
        <w:tc>
          <w:tcPr>
            <w:tcW w:w="1120" w:type="dxa"/>
            <w:tcBorders>
              <w:top w:val="nil"/>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193</w:t>
            </w:r>
          </w:p>
        </w:tc>
      </w:tr>
      <w:tr w:rsidR="002B4ADF" w:rsidRPr="002B4ADF" w:rsidTr="002B4ADF">
        <w:trPr>
          <w:trHeight w:val="315"/>
        </w:trPr>
        <w:tc>
          <w:tcPr>
            <w:tcW w:w="1009" w:type="dxa"/>
            <w:tcBorders>
              <w:top w:val="nil"/>
              <w:left w:val="single" w:sz="8" w:space="0" w:color="auto"/>
              <w:bottom w:val="nil"/>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mai</w:t>
            </w:r>
          </w:p>
        </w:tc>
        <w:tc>
          <w:tcPr>
            <w:tcW w:w="1120" w:type="dxa"/>
            <w:tcBorders>
              <w:top w:val="nil"/>
              <w:left w:val="single" w:sz="8" w:space="0" w:color="auto"/>
              <w:bottom w:val="nil"/>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140</w:t>
            </w:r>
          </w:p>
        </w:tc>
        <w:tc>
          <w:tcPr>
            <w:tcW w:w="1120" w:type="dxa"/>
            <w:tcBorders>
              <w:top w:val="nil"/>
              <w:left w:val="nil"/>
              <w:bottom w:val="nil"/>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142</w:t>
            </w:r>
          </w:p>
        </w:tc>
        <w:tc>
          <w:tcPr>
            <w:tcW w:w="1120" w:type="dxa"/>
            <w:tcBorders>
              <w:top w:val="nil"/>
              <w:left w:val="nil"/>
              <w:bottom w:val="nil"/>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148</w:t>
            </w:r>
          </w:p>
        </w:tc>
      </w:tr>
      <w:tr w:rsidR="002B4ADF" w:rsidRPr="002B4ADF" w:rsidTr="002B4ADF">
        <w:trPr>
          <w:trHeight w:val="315"/>
        </w:trPr>
        <w:tc>
          <w:tcPr>
            <w:tcW w:w="1009" w:type="dxa"/>
            <w:tcBorders>
              <w:top w:val="single" w:sz="8" w:space="0" w:color="auto"/>
              <w:left w:val="single" w:sz="8" w:space="0" w:color="auto"/>
              <w:bottom w:val="single" w:sz="8" w:space="0" w:color="auto"/>
              <w:right w:val="nil"/>
            </w:tcBorders>
            <w:shd w:val="clear" w:color="auto" w:fill="auto"/>
            <w:noWrap/>
            <w:vAlign w:val="center"/>
            <w:hideMark/>
          </w:tcPr>
          <w:p w:rsidR="002B4ADF" w:rsidRPr="002B4ADF" w:rsidRDefault="002B4ADF" w:rsidP="002B4ADF">
            <w:pPr>
              <w:spacing w:before="0" w:after="0"/>
              <w:jc w:val="center"/>
              <w:rPr>
                <w:rFonts w:cs="Arial"/>
                <w:color w:val="000000"/>
                <w:szCs w:val="22"/>
              </w:rPr>
            </w:pPr>
            <w:r w:rsidRPr="002B4ADF">
              <w:rPr>
                <w:rFonts w:cs="Arial"/>
                <w:color w:val="000000"/>
                <w:szCs w:val="22"/>
              </w:rPr>
              <w:t>Total</w:t>
            </w:r>
          </w:p>
        </w:tc>
        <w:tc>
          <w:tcPr>
            <w:tcW w:w="11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1904</w:t>
            </w:r>
          </w:p>
        </w:tc>
        <w:tc>
          <w:tcPr>
            <w:tcW w:w="1120" w:type="dxa"/>
            <w:tcBorders>
              <w:top w:val="single" w:sz="8" w:space="0" w:color="auto"/>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1827</w:t>
            </w:r>
          </w:p>
        </w:tc>
        <w:tc>
          <w:tcPr>
            <w:tcW w:w="1120" w:type="dxa"/>
            <w:tcBorders>
              <w:top w:val="single" w:sz="8" w:space="0" w:color="auto"/>
              <w:left w:val="nil"/>
              <w:bottom w:val="single" w:sz="8" w:space="0" w:color="auto"/>
              <w:right w:val="single" w:sz="8" w:space="0" w:color="auto"/>
            </w:tcBorders>
            <w:shd w:val="clear" w:color="auto" w:fill="auto"/>
            <w:noWrap/>
            <w:vAlign w:val="center"/>
            <w:hideMark/>
          </w:tcPr>
          <w:p w:rsidR="002B4ADF" w:rsidRPr="002B4ADF" w:rsidRDefault="002B4ADF" w:rsidP="002B4ADF">
            <w:pPr>
              <w:spacing w:before="0" w:after="0"/>
              <w:jc w:val="right"/>
              <w:rPr>
                <w:rFonts w:cs="Arial"/>
                <w:color w:val="000000"/>
                <w:szCs w:val="22"/>
              </w:rPr>
            </w:pPr>
            <w:r w:rsidRPr="002B4ADF">
              <w:rPr>
                <w:rFonts w:cs="Arial"/>
                <w:color w:val="000000"/>
                <w:szCs w:val="22"/>
              </w:rPr>
              <w:t>1911</w:t>
            </w:r>
          </w:p>
        </w:tc>
      </w:tr>
    </w:tbl>
    <w:p w:rsidR="002B4ADF" w:rsidRPr="005F5A3C" w:rsidRDefault="002B4ADF" w:rsidP="002B4ADF">
      <w:pPr>
        <w:pStyle w:val="Paragraphedeliste"/>
        <w:spacing w:after="120"/>
        <w:ind w:left="0"/>
      </w:pPr>
    </w:p>
    <w:p w:rsidR="0044498A" w:rsidRPr="00555382" w:rsidRDefault="0044498A" w:rsidP="0044498A">
      <w:pPr>
        <w:pStyle w:val="Paragraphedeliste"/>
        <w:numPr>
          <w:ilvl w:val="0"/>
          <w:numId w:val="14"/>
        </w:numPr>
        <w:spacing w:before="120"/>
        <w:rPr>
          <w:b/>
        </w:rPr>
      </w:pPr>
      <w:r w:rsidRPr="002B4ADF">
        <w:rPr>
          <w:rFonts w:ascii="Times New Roman" w:hAnsi="Times New Roman"/>
        </w:rPr>
        <w:t xml:space="preserve">Soit une moyenne de DJU annuels pour ces 3 saisons de chauffe de </w:t>
      </w:r>
      <w:r w:rsidR="002B4ADF" w:rsidRPr="002B4ADF">
        <w:rPr>
          <w:rFonts w:ascii="Times New Roman" w:hAnsi="Times New Roman"/>
          <w:b/>
        </w:rPr>
        <w:t>1880</w:t>
      </w:r>
    </w:p>
    <w:p w:rsidR="00555382" w:rsidRDefault="00555382" w:rsidP="00555382">
      <w:pPr>
        <w:pStyle w:val="Titre1"/>
        <w:numPr>
          <w:ilvl w:val="0"/>
          <w:numId w:val="0"/>
        </w:numPr>
      </w:pPr>
      <w:r>
        <w:t>Consommations et factures RCU</w:t>
      </w:r>
    </w:p>
    <w:p w:rsidR="00555382" w:rsidRPr="00B60FC2" w:rsidRDefault="00555382" w:rsidP="00555382"/>
    <w:p w:rsidR="00555382" w:rsidRDefault="00555382" w:rsidP="00555382">
      <w:pPr>
        <w:numPr>
          <w:ilvl w:val="0"/>
          <w:numId w:val="16"/>
        </w:numPr>
        <w:spacing w:before="0" w:after="0" w:line="276" w:lineRule="auto"/>
      </w:pPr>
      <w:r>
        <w:t xml:space="preserve">Factures des 3 dernières saison de chauffe : </w:t>
      </w:r>
    </w:p>
    <w:p w:rsidR="00555382" w:rsidRDefault="00555382" w:rsidP="00555382">
      <w:pPr>
        <w:spacing w:before="0" w:after="0" w:line="276" w:lineRule="auto"/>
      </w:pPr>
    </w:p>
    <w:tbl>
      <w:tblPr>
        <w:tblW w:w="3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200"/>
        <w:gridCol w:w="1200"/>
      </w:tblGrid>
      <w:tr w:rsidR="00555382" w:rsidRPr="00B60FC2" w:rsidTr="005B1B52">
        <w:trPr>
          <w:trHeight w:val="315"/>
        </w:trPr>
        <w:tc>
          <w:tcPr>
            <w:tcW w:w="1200" w:type="dxa"/>
            <w:tcBorders>
              <w:right w:val="nil"/>
            </w:tcBorders>
            <w:shd w:val="clear" w:color="auto" w:fill="auto"/>
            <w:noWrap/>
            <w:vAlign w:val="bottom"/>
          </w:tcPr>
          <w:p w:rsidR="00555382" w:rsidRPr="00B60FC2" w:rsidRDefault="00555382" w:rsidP="005B1B52">
            <w:pPr>
              <w:spacing w:before="0" w:after="0"/>
              <w:jc w:val="center"/>
              <w:rPr>
                <w:rFonts w:ascii="Calibri" w:hAnsi="Calibri" w:cs="Calibri"/>
                <w:color w:val="000000"/>
                <w:szCs w:val="22"/>
              </w:rPr>
            </w:pPr>
          </w:p>
        </w:tc>
        <w:tc>
          <w:tcPr>
            <w:tcW w:w="1200" w:type="dxa"/>
            <w:tcBorders>
              <w:left w:val="nil"/>
              <w:right w:val="nil"/>
            </w:tcBorders>
            <w:shd w:val="clear" w:color="auto" w:fill="auto"/>
            <w:noWrap/>
            <w:vAlign w:val="bottom"/>
          </w:tcPr>
          <w:p w:rsidR="00555382" w:rsidRPr="00CA1A55" w:rsidRDefault="00555382" w:rsidP="005B1B52">
            <w:pPr>
              <w:spacing w:before="0" w:after="0"/>
              <w:jc w:val="center"/>
              <w:rPr>
                <w:rFonts w:ascii="Calibri" w:hAnsi="Calibri" w:cs="Calibri"/>
                <w:b/>
                <w:color w:val="000000"/>
                <w:szCs w:val="22"/>
              </w:rPr>
            </w:pPr>
            <w:r w:rsidRPr="00CA1A55">
              <w:rPr>
                <w:rFonts w:ascii="Calibri" w:hAnsi="Calibri" w:cs="Calibri"/>
                <w:b/>
                <w:color w:val="000000"/>
                <w:szCs w:val="22"/>
              </w:rPr>
              <w:t xml:space="preserve">CMV </w:t>
            </w:r>
          </w:p>
        </w:tc>
        <w:tc>
          <w:tcPr>
            <w:tcW w:w="1200" w:type="dxa"/>
            <w:tcBorders>
              <w:left w:val="nil"/>
            </w:tcBorders>
            <w:shd w:val="clear" w:color="auto" w:fill="auto"/>
            <w:noWrap/>
            <w:vAlign w:val="bottom"/>
          </w:tcPr>
          <w:p w:rsidR="00555382" w:rsidRPr="00B60FC2" w:rsidRDefault="00555382" w:rsidP="005B1B52">
            <w:pPr>
              <w:spacing w:before="0" w:after="0"/>
              <w:jc w:val="center"/>
              <w:rPr>
                <w:rFonts w:ascii="Calibri" w:hAnsi="Calibri" w:cs="Calibri"/>
                <w:color w:val="000000"/>
                <w:szCs w:val="22"/>
              </w:rPr>
            </w:pPr>
          </w:p>
        </w:tc>
      </w:tr>
      <w:tr w:rsidR="00555382" w:rsidRPr="00B60FC2" w:rsidTr="005B1B52">
        <w:trPr>
          <w:trHeight w:val="315"/>
        </w:trPr>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Pr>
                <w:rFonts w:ascii="Calibri" w:hAnsi="Calibri" w:cs="Calibri"/>
                <w:color w:val="000000"/>
                <w:szCs w:val="22"/>
              </w:rPr>
              <w:t xml:space="preserve"> </w:t>
            </w:r>
            <w:r w:rsidRPr="00B60FC2">
              <w:rPr>
                <w:rFonts w:ascii="Calibri" w:hAnsi="Calibri" w:cs="Calibri"/>
                <w:color w:val="000000"/>
                <w:szCs w:val="22"/>
              </w:rPr>
              <w:t>2022/2023</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555382" w:rsidRPr="00B60FC2" w:rsidTr="005B1B52">
        <w:trPr>
          <w:trHeight w:val="315"/>
        </w:trPr>
        <w:tc>
          <w:tcPr>
            <w:tcW w:w="120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600903,76</w:t>
            </w:r>
          </w:p>
        </w:tc>
        <w:tc>
          <w:tcPr>
            <w:tcW w:w="120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551698</w:t>
            </w:r>
          </w:p>
        </w:tc>
        <w:tc>
          <w:tcPr>
            <w:tcW w:w="120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569851,09</w:t>
            </w:r>
          </w:p>
        </w:tc>
      </w:tr>
    </w:tbl>
    <w:p w:rsidR="00555382" w:rsidRPr="003E1B2A" w:rsidRDefault="00555382" w:rsidP="00555382">
      <w:pPr>
        <w:spacing w:before="0" w:after="0" w:line="276" w:lineRule="auto"/>
      </w:pPr>
    </w:p>
    <w:tbl>
      <w:tblPr>
        <w:tblW w:w="3600" w:type="dxa"/>
        <w:tblInd w:w="70" w:type="dxa"/>
        <w:tblCellMar>
          <w:left w:w="70" w:type="dxa"/>
          <w:right w:w="70" w:type="dxa"/>
        </w:tblCellMar>
        <w:tblLook w:val="04A0" w:firstRow="1" w:lastRow="0" w:firstColumn="1" w:lastColumn="0" w:noHBand="0" w:noVBand="1"/>
      </w:tblPr>
      <w:tblGrid>
        <w:gridCol w:w="1200"/>
        <w:gridCol w:w="1300"/>
        <w:gridCol w:w="1200"/>
      </w:tblGrid>
      <w:tr w:rsidR="00555382" w:rsidRPr="00B60FC2" w:rsidTr="005B1B52">
        <w:trPr>
          <w:trHeight w:val="315"/>
        </w:trPr>
        <w:tc>
          <w:tcPr>
            <w:tcW w:w="1200" w:type="dxa"/>
            <w:tcBorders>
              <w:top w:val="single" w:sz="4" w:space="0" w:color="auto"/>
              <w:left w:val="single" w:sz="4" w:space="0" w:color="auto"/>
              <w:bottom w:val="single" w:sz="4" w:space="0" w:color="auto"/>
            </w:tcBorders>
            <w:shd w:val="clear" w:color="auto" w:fill="auto"/>
            <w:noWrap/>
            <w:vAlign w:val="bottom"/>
          </w:tcPr>
          <w:p w:rsidR="00555382" w:rsidRPr="00B60FC2" w:rsidRDefault="002D39AC" w:rsidP="005B1B52">
            <w:pPr>
              <w:spacing w:before="0" w:after="0"/>
              <w:jc w:val="center"/>
              <w:rPr>
                <w:rFonts w:ascii="Calibri" w:hAnsi="Calibri" w:cs="Calibri"/>
                <w:color w:val="000000"/>
                <w:szCs w:val="22"/>
              </w:rPr>
            </w:pPr>
            <w:r>
              <w:rPr>
                <w:rFonts w:ascii="Calibri" w:hAnsi="Calibri" w:cs="Calibri"/>
                <w:color w:val="000000"/>
                <w:szCs w:val="22"/>
              </w:rPr>
              <w:t>KERORIOU</w:t>
            </w:r>
          </w:p>
        </w:tc>
        <w:tc>
          <w:tcPr>
            <w:tcW w:w="1200" w:type="dxa"/>
            <w:tcBorders>
              <w:top w:val="single" w:sz="4" w:space="0" w:color="auto"/>
              <w:bottom w:val="single" w:sz="4" w:space="0" w:color="auto"/>
            </w:tcBorders>
            <w:shd w:val="clear" w:color="auto" w:fill="auto"/>
            <w:noWrap/>
            <w:vAlign w:val="bottom"/>
          </w:tcPr>
          <w:p w:rsidR="00555382" w:rsidRPr="00CA1A55" w:rsidRDefault="00555382" w:rsidP="005B1B52">
            <w:pPr>
              <w:spacing w:before="0" w:after="0"/>
              <w:jc w:val="center"/>
              <w:rPr>
                <w:rFonts w:ascii="Calibri" w:hAnsi="Calibri" w:cs="Calibri"/>
                <w:b/>
                <w:color w:val="000000"/>
                <w:szCs w:val="22"/>
              </w:rPr>
            </w:pPr>
            <w:r w:rsidRPr="00CA1A55">
              <w:rPr>
                <w:rFonts w:ascii="Calibri" w:hAnsi="Calibri" w:cs="Calibri"/>
                <w:b/>
                <w:color w:val="000000"/>
                <w:szCs w:val="22"/>
              </w:rPr>
              <w:t>Océan/Oasis</w:t>
            </w:r>
          </w:p>
        </w:tc>
        <w:tc>
          <w:tcPr>
            <w:tcW w:w="1200" w:type="dxa"/>
            <w:tcBorders>
              <w:top w:val="single" w:sz="4" w:space="0" w:color="auto"/>
              <w:bottom w:val="single" w:sz="4" w:space="0" w:color="auto"/>
              <w:right w:val="single" w:sz="4" w:space="0" w:color="auto"/>
            </w:tcBorders>
            <w:shd w:val="clear" w:color="auto" w:fill="auto"/>
            <w:noWrap/>
            <w:vAlign w:val="bottom"/>
          </w:tcPr>
          <w:p w:rsidR="00555382" w:rsidRPr="00CA1A55" w:rsidRDefault="00555382" w:rsidP="005B1B52">
            <w:pPr>
              <w:spacing w:before="0" w:after="0"/>
              <w:jc w:val="center"/>
              <w:rPr>
                <w:rFonts w:ascii="Calibri" w:hAnsi="Calibri" w:cs="Calibri"/>
                <w:b/>
                <w:color w:val="000000"/>
                <w:szCs w:val="22"/>
              </w:rPr>
            </w:pPr>
          </w:p>
        </w:tc>
      </w:tr>
      <w:tr w:rsidR="00555382" w:rsidRPr="00B60FC2" w:rsidTr="005B1B52">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555382" w:rsidRPr="00B60FC2" w:rsidTr="005B1B52">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662576,2</w:t>
            </w:r>
          </w:p>
        </w:tc>
        <w:tc>
          <w:tcPr>
            <w:tcW w:w="1200"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691466,4</w:t>
            </w:r>
          </w:p>
        </w:tc>
        <w:tc>
          <w:tcPr>
            <w:tcW w:w="1200"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735949,49</w:t>
            </w:r>
          </w:p>
        </w:tc>
      </w:tr>
    </w:tbl>
    <w:p w:rsidR="00555382" w:rsidRDefault="00555382" w:rsidP="00555382">
      <w:pPr>
        <w:rPr>
          <w:b/>
        </w:rPr>
      </w:pPr>
    </w:p>
    <w:p w:rsidR="00555382" w:rsidRDefault="00555382" w:rsidP="00555382">
      <w:pPr>
        <w:numPr>
          <w:ilvl w:val="0"/>
          <w:numId w:val="18"/>
        </w:numPr>
      </w:pPr>
      <w:r w:rsidRPr="00B60FC2">
        <w:t>Consommations des 3 dernières saison de chauffe</w:t>
      </w:r>
      <w:r>
        <w:t xml:space="preserve"> en </w:t>
      </w:r>
      <w:proofErr w:type="spellStart"/>
      <w:r>
        <w:t>MWh</w:t>
      </w:r>
      <w:proofErr w:type="spellEnd"/>
      <w:r>
        <w:t> :</w:t>
      </w:r>
    </w:p>
    <w:p w:rsidR="00555382" w:rsidRDefault="00555382" w:rsidP="00555382"/>
    <w:tbl>
      <w:tblPr>
        <w:tblW w:w="3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0"/>
        <w:gridCol w:w="1200"/>
        <w:gridCol w:w="1200"/>
      </w:tblGrid>
      <w:tr w:rsidR="00555382" w:rsidRPr="00B60FC2" w:rsidTr="005B1B52">
        <w:trPr>
          <w:trHeight w:val="315"/>
        </w:trPr>
        <w:tc>
          <w:tcPr>
            <w:tcW w:w="1420" w:type="dxa"/>
            <w:tcBorders>
              <w:right w:val="nil"/>
            </w:tcBorders>
            <w:shd w:val="clear" w:color="auto" w:fill="auto"/>
            <w:noWrap/>
            <w:vAlign w:val="bottom"/>
          </w:tcPr>
          <w:p w:rsidR="00555382" w:rsidRPr="00B60FC2" w:rsidRDefault="00555382" w:rsidP="005B1B52">
            <w:pPr>
              <w:spacing w:before="0" w:after="0"/>
              <w:jc w:val="center"/>
              <w:rPr>
                <w:rFonts w:ascii="Calibri" w:hAnsi="Calibri" w:cs="Calibri"/>
                <w:color w:val="000000"/>
                <w:szCs w:val="22"/>
              </w:rPr>
            </w:pPr>
          </w:p>
        </w:tc>
        <w:tc>
          <w:tcPr>
            <w:tcW w:w="1200" w:type="dxa"/>
            <w:tcBorders>
              <w:left w:val="nil"/>
              <w:right w:val="nil"/>
            </w:tcBorders>
            <w:shd w:val="clear" w:color="auto" w:fill="auto"/>
            <w:noWrap/>
            <w:vAlign w:val="bottom"/>
          </w:tcPr>
          <w:p w:rsidR="00555382" w:rsidRPr="00CA1A55" w:rsidRDefault="00555382" w:rsidP="005B1B52">
            <w:pPr>
              <w:spacing w:before="0" w:after="0"/>
              <w:jc w:val="center"/>
              <w:rPr>
                <w:rFonts w:ascii="Calibri" w:hAnsi="Calibri" w:cs="Calibri"/>
                <w:b/>
                <w:color w:val="000000"/>
                <w:szCs w:val="22"/>
              </w:rPr>
            </w:pPr>
            <w:r w:rsidRPr="00CA1A55">
              <w:rPr>
                <w:rFonts w:ascii="Calibri" w:hAnsi="Calibri" w:cs="Calibri"/>
                <w:b/>
                <w:color w:val="000000"/>
                <w:szCs w:val="22"/>
              </w:rPr>
              <w:t>CMV</w:t>
            </w:r>
          </w:p>
        </w:tc>
        <w:tc>
          <w:tcPr>
            <w:tcW w:w="1200" w:type="dxa"/>
            <w:tcBorders>
              <w:left w:val="nil"/>
            </w:tcBorders>
            <w:shd w:val="clear" w:color="auto" w:fill="auto"/>
            <w:noWrap/>
            <w:vAlign w:val="bottom"/>
          </w:tcPr>
          <w:p w:rsidR="00555382" w:rsidRPr="00B60FC2" w:rsidRDefault="00555382" w:rsidP="005B1B52">
            <w:pPr>
              <w:spacing w:before="0" w:after="0"/>
              <w:jc w:val="center"/>
              <w:rPr>
                <w:rFonts w:ascii="Calibri" w:hAnsi="Calibri" w:cs="Calibri"/>
                <w:color w:val="000000"/>
                <w:szCs w:val="22"/>
              </w:rPr>
            </w:pPr>
          </w:p>
        </w:tc>
      </w:tr>
      <w:tr w:rsidR="00555382" w:rsidRPr="00B60FC2" w:rsidTr="005B1B52">
        <w:trPr>
          <w:trHeight w:val="315"/>
        </w:trPr>
        <w:tc>
          <w:tcPr>
            <w:tcW w:w="142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555382" w:rsidRPr="00B60FC2" w:rsidTr="005B1B52">
        <w:trPr>
          <w:trHeight w:val="315"/>
        </w:trPr>
        <w:tc>
          <w:tcPr>
            <w:tcW w:w="142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5184,92</w:t>
            </w:r>
          </w:p>
        </w:tc>
        <w:tc>
          <w:tcPr>
            <w:tcW w:w="120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4252,95</w:t>
            </w:r>
          </w:p>
        </w:tc>
        <w:tc>
          <w:tcPr>
            <w:tcW w:w="1200" w:type="dxa"/>
            <w:shd w:val="clear" w:color="auto" w:fill="C5E0B3"/>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3398,01</w:t>
            </w:r>
          </w:p>
        </w:tc>
      </w:tr>
    </w:tbl>
    <w:p w:rsidR="00555382" w:rsidRDefault="00555382" w:rsidP="00555382"/>
    <w:tbl>
      <w:tblPr>
        <w:tblW w:w="3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300"/>
        <w:gridCol w:w="1200"/>
      </w:tblGrid>
      <w:tr w:rsidR="00555382" w:rsidRPr="00B60FC2" w:rsidTr="005B1B52">
        <w:trPr>
          <w:trHeight w:val="315"/>
        </w:trPr>
        <w:tc>
          <w:tcPr>
            <w:tcW w:w="1200" w:type="dxa"/>
            <w:tcBorders>
              <w:right w:val="nil"/>
            </w:tcBorders>
            <w:shd w:val="clear" w:color="auto" w:fill="auto"/>
            <w:noWrap/>
            <w:vAlign w:val="bottom"/>
          </w:tcPr>
          <w:p w:rsidR="00555382" w:rsidRPr="00B60FC2" w:rsidRDefault="002D39AC" w:rsidP="005B1B52">
            <w:pPr>
              <w:spacing w:before="0" w:after="0"/>
              <w:jc w:val="center"/>
              <w:rPr>
                <w:rFonts w:ascii="Calibri" w:hAnsi="Calibri" w:cs="Calibri"/>
                <w:color w:val="000000"/>
                <w:szCs w:val="22"/>
              </w:rPr>
            </w:pPr>
            <w:r>
              <w:rPr>
                <w:rFonts w:ascii="Calibri" w:hAnsi="Calibri" w:cs="Calibri"/>
                <w:color w:val="000000"/>
                <w:szCs w:val="22"/>
              </w:rPr>
              <w:t>KERORIOU</w:t>
            </w:r>
          </w:p>
        </w:tc>
        <w:tc>
          <w:tcPr>
            <w:tcW w:w="1200" w:type="dxa"/>
            <w:tcBorders>
              <w:left w:val="nil"/>
              <w:right w:val="nil"/>
            </w:tcBorders>
            <w:shd w:val="clear" w:color="auto" w:fill="auto"/>
            <w:noWrap/>
            <w:vAlign w:val="bottom"/>
          </w:tcPr>
          <w:p w:rsidR="00555382" w:rsidRPr="00CA1A55" w:rsidRDefault="00555382" w:rsidP="005B1B52">
            <w:pPr>
              <w:spacing w:before="0" w:after="0"/>
              <w:jc w:val="center"/>
              <w:rPr>
                <w:rFonts w:ascii="Calibri" w:hAnsi="Calibri" w:cs="Calibri"/>
                <w:b/>
                <w:color w:val="000000"/>
                <w:szCs w:val="22"/>
              </w:rPr>
            </w:pPr>
            <w:r w:rsidRPr="00CA1A55">
              <w:rPr>
                <w:rFonts w:ascii="Calibri" w:hAnsi="Calibri" w:cs="Calibri"/>
                <w:b/>
                <w:color w:val="000000"/>
                <w:szCs w:val="22"/>
              </w:rPr>
              <w:t>Océan/Oasis</w:t>
            </w:r>
          </w:p>
        </w:tc>
        <w:tc>
          <w:tcPr>
            <w:tcW w:w="1200" w:type="dxa"/>
            <w:tcBorders>
              <w:left w:val="nil"/>
            </w:tcBorders>
            <w:shd w:val="clear" w:color="auto" w:fill="auto"/>
            <w:noWrap/>
            <w:vAlign w:val="bottom"/>
          </w:tcPr>
          <w:p w:rsidR="00555382" w:rsidRPr="00B60FC2" w:rsidRDefault="00555382" w:rsidP="005B1B52">
            <w:pPr>
              <w:spacing w:before="0" w:after="0"/>
              <w:jc w:val="center"/>
              <w:rPr>
                <w:rFonts w:ascii="Calibri" w:hAnsi="Calibri" w:cs="Calibri"/>
                <w:color w:val="000000"/>
                <w:szCs w:val="22"/>
              </w:rPr>
            </w:pPr>
          </w:p>
        </w:tc>
      </w:tr>
      <w:tr w:rsidR="00555382" w:rsidRPr="00B60FC2" w:rsidTr="005B1B52">
        <w:trPr>
          <w:trHeight w:val="315"/>
        </w:trPr>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shd w:val="clear" w:color="auto" w:fill="auto"/>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555382" w:rsidRPr="00B60FC2" w:rsidTr="005B1B52">
        <w:trPr>
          <w:trHeight w:val="315"/>
        </w:trPr>
        <w:tc>
          <w:tcPr>
            <w:tcW w:w="1200" w:type="dxa"/>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5437,9</w:t>
            </w:r>
          </w:p>
        </w:tc>
        <w:tc>
          <w:tcPr>
            <w:tcW w:w="1200" w:type="dxa"/>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5202,8</w:t>
            </w:r>
          </w:p>
        </w:tc>
        <w:tc>
          <w:tcPr>
            <w:tcW w:w="1200" w:type="dxa"/>
            <w:shd w:val="clear" w:color="000000" w:fill="C6E0B4"/>
            <w:noWrap/>
            <w:vAlign w:val="bottom"/>
            <w:hideMark/>
          </w:tcPr>
          <w:p w:rsidR="00555382" w:rsidRPr="00B60FC2" w:rsidRDefault="00555382" w:rsidP="005B1B52">
            <w:pPr>
              <w:spacing w:before="0" w:after="0"/>
              <w:jc w:val="center"/>
              <w:rPr>
                <w:rFonts w:ascii="Calibri" w:hAnsi="Calibri" w:cs="Calibri"/>
                <w:color w:val="000000"/>
                <w:szCs w:val="22"/>
              </w:rPr>
            </w:pPr>
            <w:r w:rsidRPr="00B60FC2">
              <w:rPr>
                <w:rFonts w:ascii="Calibri" w:hAnsi="Calibri" w:cs="Calibri"/>
                <w:color w:val="000000"/>
                <w:szCs w:val="22"/>
              </w:rPr>
              <w:t>4774,6</w:t>
            </w:r>
          </w:p>
        </w:tc>
      </w:tr>
    </w:tbl>
    <w:p w:rsidR="00555382" w:rsidRPr="00B60FC2" w:rsidRDefault="00555382" w:rsidP="00555382"/>
    <w:p w:rsidR="00555382" w:rsidRPr="005F5A3C" w:rsidRDefault="00555382" w:rsidP="00555382">
      <w:pPr>
        <w:pStyle w:val="Titre1"/>
        <w:numPr>
          <w:ilvl w:val="0"/>
          <w:numId w:val="0"/>
        </w:numPr>
        <w:rPr>
          <w:b w:val="0"/>
        </w:rPr>
      </w:pPr>
      <w:r w:rsidRPr="005F5A3C">
        <w:t>Consommation d’ECS sur la saison de chauffe</w:t>
      </w:r>
    </w:p>
    <w:p w:rsidR="00555382" w:rsidRDefault="00555382" w:rsidP="00555382">
      <w:pPr>
        <w:spacing w:after="240"/>
      </w:pPr>
      <w:r>
        <w:t xml:space="preserve">La consommation ECS est estimée à environ </w:t>
      </w:r>
      <w:r w:rsidRPr="00B03F42">
        <w:rPr>
          <w:b/>
        </w:rPr>
        <w:t xml:space="preserve">228 </w:t>
      </w:r>
      <w:proofErr w:type="spellStart"/>
      <w:r w:rsidRPr="00B03F42">
        <w:rPr>
          <w:b/>
        </w:rPr>
        <w:t>MWh</w:t>
      </w:r>
      <w:proofErr w:type="spellEnd"/>
      <w:r>
        <w:t xml:space="preserve"> sur la saison de chauffe pour la sous-station Océan/Oasis.</w:t>
      </w:r>
    </w:p>
    <w:p w:rsidR="00555382" w:rsidRDefault="00555382" w:rsidP="00555382">
      <w:pPr>
        <w:spacing w:after="240"/>
      </w:pPr>
      <w:r>
        <w:t xml:space="preserve">La consommation ECS est estimé à environ sur la saison de chauffe pour la sous-station Giffard </w:t>
      </w:r>
      <w:r w:rsidRPr="00B03F42">
        <w:rPr>
          <w:b/>
        </w:rPr>
        <w:t xml:space="preserve">252 </w:t>
      </w:r>
      <w:proofErr w:type="spellStart"/>
      <w:r w:rsidRPr="00B03F42">
        <w:rPr>
          <w:b/>
        </w:rPr>
        <w:t>MWh</w:t>
      </w:r>
      <w:proofErr w:type="spellEnd"/>
      <w:r>
        <w:t>.</w:t>
      </w:r>
    </w:p>
    <w:p w:rsidR="00555382" w:rsidRDefault="00555382" w:rsidP="00555382">
      <w:pPr>
        <w:spacing w:after="240"/>
      </w:pPr>
    </w:p>
    <w:p w:rsidR="00555382" w:rsidRPr="00555382" w:rsidRDefault="00555382" w:rsidP="00555382">
      <w:pPr>
        <w:spacing w:after="240"/>
        <w:rPr>
          <w:b/>
          <w:szCs w:val="22"/>
        </w:rPr>
      </w:pPr>
      <w:r w:rsidRPr="00555382">
        <w:rPr>
          <w:b/>
        </w:rPr>
        <w:t xml:space="preserve">Consommations et factures GAZ annuelles </w:t>
      </w:r>
    </w:p>
    <w:tbl>
      <w:tblPr>
        <w:tblW w:w="2820" w:type="dxa"/>
        <w:jc w:val="center"/>
        <w:tblCellMar>
          <w:left w:w="70" w:type="dxa"/>
          <w:right w:w="70" w:type="dxa"/>
        </w:tblCellMar>
        <w:tblLook w:val="04A0" w:firstRow="1" w:lastRow="0" w:firstColumn="1" w:lastColumn="0" w:noHBand="0" w:noVBand="1"/>
      </w:tblPr>
      <w:tblGrid>
        <w:gridCol w:w="1200"/>
        <w:gridCol w:w="1620"/>
      </w:tblGrid>
      <w:tr w:rsidR="00555382" w:rsidRPr="004F2801" w:rsidTr="005B1B52">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5382" w:rsidRPr="0038610A" w:rsidRDefault="00555382" w:rsidP="005B1B52">
            <w:pPr>
              <w:jc w:val="center"/>
            </w:pPr>
            <w:r w:rsidRPr="0038610A">
              <w:t>Année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555382" w:rsidRPr="0038610A" w:rsidRDefault="00555382" w:rsidP="005B1B52">
            <w:pPr>
              <w:jc w:val="center"/>
            </w:pPr>
            <w:r w:rsidRPr="0038610A">
              <w:t xml:space="preserve">Consommation en </w:t>
            </w:r>
            <w:proofErr w:type="spellStart"/>
            <w:r w:rsidRPr="0038610A">
              <w:t>MWhPCI</w:t>
            </w:r>
            <w:proofErr w:type="spellEnd"/>
          </w:p>
        </w:tc>
      </w:tr>
      <w:tr w:rsidR="00555382" w:rsidRPr="004F2801" w:rsidTr="005B1B52">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555382" w:rsidRPr="0038610A" w:rsidRDefault="00555382" w:rsidP="005B1B52">
            <w:pPr>
              <w:jc w:val="center"/>
            </w:pPr>
            <w:r w:rsidRPr="0038610A">
              <w:t>2022</w:t>
            </w:r>
          </w:p>
        </w:tc>
        <w:tc>
          <w:tcPr>
            <w:tcW w:w="1620" w:type="dxa"/>
            <w:tcBorders>
              <w:top w:val="nil"/>
              <w:left w:val="nil"/>
              <w:bottom w:val="single" w:sz="4" w:space="0" w:color="auto"/>
              <w:right w:val="single" w:sz="4" w:space="0" w:color="auto"/>
            </w:tcBorders>
            <w:shd w:val="clear" w:color="auto" w:fill="auto"/>
            <w:noWrap/>
            <w:vAlign w:val="center"/>
            <w:hideMark/>
          </w:tcPr>
          <w:p w:rsidR="00555382" w:rsidRPr="0038610A" w:rsidRDefault="00555382" w:rsidP="005B1B52">
            <w:pPr>
              <w:ind w:right="113"/>
              <w:jc w:val="center"/>
            </w:pPr>
            <w:r w:rsidRPr="0038610A">
              <w:t>9.2</w:t>
            </w:r>
          </w:p>
        </w:tc>
      </w:tr>
      <w:tr w:rsidR="00555382" w:rsidRPr="004F2801" w:rsidTr="005B1B52">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555382" w:rsidRPr="0038610A" w:rsidRDefault="00555382" w:rsidP="005B1B52">
            <w:pPr>
              <w:jc w:val="center"/>
            </w:pPr>
            <w:r w:rsidRPr="0038610A">
              <w:t>2023</w:t>
            </w:r>
          </w:p>
        </w:tc>
        <w:tc>
          <w:tcPr>
            <w:tcW w:w="1620" w:type="dxa"/>
            <w:tcBorders>
              <w:top w:val="nil"/>
              <w:left w:val="nil"/>
              <w:bottom w:val="single" w:sz="4" w:space="0" w:color="auto"/>
              <w:right w:val="single" w:sz="4" w:space="0" w:color="auto"/>
            </w:tcBorders>
            <w:shd w:val="clear" w:color="auto" w:fill="auto"/>
            <w:noWrap/>
            <w:vAlign w:val="center"/>
            <w:hideMark/>
          </w:tcPr>
          <w:p w:rsidR="00555382" w:rsidRPr="0038610A" w:rsidRDefault="00555382" w:rsidP="005B1B52">
            <w:pPr>
              <w:ind w:right="113"/>
              <w:jc w:val="center"/>
            </w:pPr>
            <w:r w:rsidRPr="0038610A">
              <w:t>5.8</w:t>
            </w:r>
          </w:p>
        </w:tc>
      </w:tr>
      <w:tr w:rsidR="00555382" w:rsidRPr="004F2801" w:rsidTr="005B1B52">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555382" w:rsidRPr="0038610A" w:rsidRDefault="00555382" w:rsidP="005B1B52">
            <w:pPr>
              <w:jc w:val="center"/>
            </w:pPr>
            <w:r w:rsidRPr="0038610A">
              <w:t>2024</w:t>
            </w:r>
          </w:p>
        </w:tc>
        <w:tc>
          <w:tcPr>
            <w:tcW w:w="1620" w:type="dxa"/>
            <w:tcBorders>
              <w:top w:val="nil"/>
              <w:left w:val="nil"/>
              <w:bottom w:val="single" w:sz="4" w:space="0" w:color="auto"/>
              <w:right w:val="single" w:sz="4" w:space="0" w:color="auto"/>
            </w:tcBorders>
            <w:shd w:val="clear" w:color="auto" w:fill="auto"/>
            <w:noWrap/>
            <w:vAlign w:val="center"/>
            <w:hideMark/>
          </w:tcPr>
          <w:p w:rsidR="00555382" w:rsidRPr="0038610A" w:rsidRDefault="00555382" w:rsidP="005B1B52">
            <w:pPr>
              <w:ind w:right="113"/>
              <w:jc w:val="center"/>
            </w:pPr>
            <w:r w:rsidRPr="0038610A">
              <w:t>5.7</w:t>
            </w:r>
          </w:p>
        </w:tc>
      </w:tr>
    </w:tbl>
    <w:p w:rsidR="00555382" w:rsidRPr="00555382" w:rsidRDefault="00555382" w:rsidP="00555382">
      <w:pPr>
        <w:rPr>
          <w:b/>
        </w:rPr>
      </w:pPr>
    </w:p>
    <w:p w:rsidR="006603C4" w:rsidRPr="004C4772" w:rsidRDefault="006603C4" w:rsidP="006603C4">
      <w:pPr>
        <w:pStyle w:val="Titre3"/>
        <w:tabs>
          <w:tab w:val="clear" w:pos="1077"/>
        </w:tabs>
        <w:spacing w:after="120" w:line="276" w:lineRule="auto"/>
        <w:ind w:left="1843" w:right="-1741" w:hanging="567"/>
        <w:rPr>
          <w:sz w:val="22"/>
          <w:szCs w:val="22"/>
        </w:rPr>
      </w:pPr>
      <w:bookmarkStart w:id="10" w:name="_Toc195880677"/>
      <w:r w:rsidRPr="004C4772">
        <w:rPr>
          <w:sz w:val="22"/>
          <w:szCs w:val="22"/>
        </w:rPr>
        <w:t>Calcul de la valeur de k(n)</w:t>
      </w:r>
      <w:bookmarkEnd w:id="10"/>
    </w:p>
    <w:p w:rsidR="006603C4" w:rsidRDefault="006603C4" w:rsidP="006603C4">
      <w:pPr>
        <w:ind w:left="283"/>
      </w:pPr>
      <w:r w:rsidRPr="00C634BD">
        <w:t xml:space="preserve">La valeur </w:t>
      </w:r>
      <w:r>
        <w:t>k(n)</w:t>
      </w:r>
      <w:r w:rsidRPr="00C634BD">
        <w:t xml:space="preserve"> correspond</w:t>
      </w:r>
      <w:r w:rsidRPr="007A36D2">
        <w:t xml:space="preserve"> </w:t>
      </w:r>
      <w:r>
        <w:t>au p</w:t>
      </w:r>
      <w:r w:rsidRPr="007A36D2">
        <w:t xml:space="preserve">rix unitaire moyen de la fourniture d’énergie (RCU) nécessaire au chauffage </w:t>
      </w:r>
      <w:r w:rsidRPr="00C634BD">
        <w:t>de l’ensemble du périmètre</w:t>
      </w:r>
      <w:r w:rsidRPr="007A36D2">
        <w:t xml:space="preserve"> durant la durée effective de chauffage pour l’année n</w:t>
      </w:r>
      <w:r>
        <w:t>.</w:t>
      </w:r>
    </w:p>
    <w:p w:rsidR="006603C4" w:rsidRPr="00C634BD" w:rsidRDefault="006603C4" w:rsidP="006603C4">
      <w:pPr>
        <w:ind w:left="283"/>
      </w:pPr>
      <w:r w:rsidRPr="00C634BD">
        <w:t xml:space="preserve">Cette valeur est calculée </w:t>
      </w:r>
      <w:r>
        <w:t xml:space="preserve">annuellement </w:t>
      </w:r>
      <w:r w:rsidRPr="00C634BD">
        <w:t>à partir de l’ensemble des factures</w:t>
      </w:r>
      <w:r>
        <w:t xml:space="preserve"> RCU </w:t>
      </w:r>
      <w:r w:rsidRPr="00C634BD">
        <w:t xml:space="preserve">périodiques sur la </w:t>
      </w:r>
      <w:r>
        <w:t>période de chauffage</w:t>
      </w:r>
      <w:r w:rsidRPr="00C634BD">
        <w:t xml:space="preserve">. Elle correspond à la moyenne des coûts mensuels </w:t>
      </w:r>
      <w:r>
        <w:t>(</w:t>
      </w:r>
      <w:r w:rsidRPr="00F60610">
        <w:rPr>
          <w:u w:val="single"/>
        </w:rPr>
        <w:t xml:space="preserve">parts variables </w:t>
      </w:r>
      <w:r>
        <w:rPr>
          <w:u w:val="single"/>
        </w:rPr>
        <w:t xml:space="preserve">liées à la consommation </w:t>
      </w:r>
      <w:r w:rsidRPr="00F60610">
        <w:rPr>
          <w:u w:val="single"/>
        </w:rPr>
        <w:t>de la tarification uniquement</w:t>
      </w:r>
      <w:r>
        <w:t xml:space="preserve">) </w:t>
      </w:r>
      <w:r w:rsidRPr="00C634BD">
        <w:t>des énergies au prorata des consommations</w:t>
      </w:r>
      <w:r>
        <w:t xml:space="preserve"> pour la période de chauffage de l’année n.</w:t>
      </w:r>
    </w:p>
    <w:p w:rsidR="006603C4" w:rsidRPr="00C634BD" w:rsidRDefault="006603C4" w:rsidP="006603C4">
      <w:pPr>
        <w:ind w:left="283"/>
      </w:pPr>
      <w:proofErr w:type="gramStart"/>
      <w:r>
        <w:t>k</w:t>
      </w:r>
      <w:proofErr w:type="gramEnd"/>
      <w:r>
        <w:t>(n)</w:t>
      </w:r>
      <w:r w:rsidRPr="00C634BD">
        <w:t xml:space="preserve"> est exprimé en </w:t>
      </w:r>
      <w:r w:rsidRPr="00C634BD">
        <w:rPr>
          <w:b/>
        </w:rPr>
        <w:t>[€TTC</w:t>
      </w:r>
      <w:r>
        <w:rPr>
          <w:b/>
        </w:rPr>
        <w:t>/</w:t>
      </w:r>
      <w:proofErr w:type="spellStart"/>
      <w:r>
        <w:rPr>
          <w:b/>
        </w:rPr>
        <w:t>M</w:t>
      </w:r>
      <w:r w:rsidRPr="00C634BD">
        <w:rPr>
          <w:b/>
        </w:rPr>
        <w:t>Wh</w:t>
      </w:r>
      <w:r>
        <w:rPr>
          <w:b/>
          <w:vertAlign w:val="subscript"/>
        </w:rPr>
        <w:t>utile</w:t>
      </w:r>
      <w:proofErr w:type="spellEnd"/>
      <w:r w:rsidRPr="00C634BD">
        <w:t>].</w:t>
      </w:r>
    </w:p>
    <w:p w:rsidR="006603C4" w:rsidRPr="00C634BD" w:rsidRDefault="006603C4" w:rsidP="006603C4">
      <w:pPr>
        <w:ind w:left="283"/>
      </w:pPr>
    </w:p>
    <w:p w:rsidR="006603C4" w:rsidRPr="00C634BD" w:rsidRDefault="006603C4" w:rsidP="006603C4">
      <w:pPr>
        <w:ind w:left="283"/>
      </w:pPr>
      <m:oMathPara>
        <m:oMath>
          <m:r>
            <w:rPr>
              <w:rFonts w:ascii="Cambria Math" w:hAnsi="Cambria Math"/>
            </w:rPr>
            <m:t>k(n)=</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montants périodiques de la part variable facturés</m:t>
                  </m:r>
                </m:e>
              </m:nary>
            </m:num>
            <m:den>
              <m:nary>
                <m:naryPr>
                  <m:chr m:val="∑"/>
                  <m:limLoc m:val="undOvr"/>
                  <m:subHide m:val="1"/>
                  <m:supHide m:val="1"/>
                  <m:ctrlPr>
                    <w:rPr>
                      <w:rFonts w:ascii="Cambria Math" w:hAnsi="Cambria Math"/>
                      <w:i/>
                    </w:rPr>
                  </m:ctrlPr>
                </m:naryPr>
                <m:sub/>
                <m:sup/>
                <m:e>
                  <m:r>
                    <w:rPr>
                      <w:rFonts w:ascii="Cambria Math" w:hAnsi="Cambria Math"/>
                    </w:rPr>
                    <m:t>consommations pé</m:t>
                  </m:r>
                </m:e>
              </m:nary>
              <m:r>
                <w:rPr>
                  <w:rFonts w:ascii="Cambria Math" w:hAnsi="Cambria Math"/>
                </w:rPr>
                <m:t>riodiques facturées</m:t>
              </m:r>
            </m:den>
          </m:f>
        </m:oMath>
      </m:oMathPara>
    </w:p>
    <w:p w:rsidR="006603C4" w:rsidRPr="00C1436B" w:rsidRDefault="006603C4" w:rsidP="006603C4">
      <w:pPr>
        <w:ind w:left="283"/>
      </w:pPr>
      <w:r w:rsidRPr="00C1436B">
        <w:t>Les factures de</w:t>
      </w:r>
      <w:r>
        <w:t xml:space="preserve">s postes de livraison RCU </w:t>
      </w:r>
      <w:r w:rsidRPr="00C1436B">
        <w:t xml:space="preserve">seront mises à disposition du </w:t>
      </w:r>
      <w:r>
        <w:t>Titulaire</w:t>
      </w:r>
      <w:r w:rsidRPr="00C1436B">
        <w:t>.</w:t>
      </w:r>
    </w:p>
    <w:p w:rsidR="006603C4" w:rsidRPr="004C4772" w:rsidRDefault="006603C4" w:rsidP="006603C4">
      <w:pPr>
        <w:pStyle w:val="Titre3"/>
        <w:tabs>
          <w:tab w:val="clear" w:pos="1077"/>
        </w:tabs>
        <w:spacing w:after="120" w:line="276" w:lineRule="auto"/>
        <w:ind w:left="1843" w:right="-1741" w:hanging="567"/>
        <w:rPr>
          <w:sz w:val="22"/>
          <w:szCs w:val="22"/>
        </w:rPr>
      </w:pPr>
      <w:bookmarkStart w:id="11" w:name="_Toc195880678"/>
      <w:r w:rsidRPr="004C4772">
        <w:rPr>
          <w:sz w:val="22"/>
          <w:szCs w:val="22"/>
        </w:rPr>
        <w:t>Calcul et répartition de l’intéressement</w:t>
      </w:r>
      <w:bookmarkEnd w:id="11"/>
    </w:p>
    <w:p w:rsidR="006603C4" w:rsidRDefault="006603C4" w:rsidP="006603C4">
      <w:pPr>
        <w:ind w:left="357"/>
      </w:pPr>
      <w:r w:rsidRPr="005E4B78">
        <w:t>Le calcul de l'intéressement se fait à la fin de chaque année</w:t>
      </w:r>
      <w:r>
        <w:t xml:space="preserve"> calendaire</w:t>
      </w:r>
      <w:r w:rsidRPr="005E4B78">
        <w:t>, en comparant la consom</w:t>
      </w:r>
      <w:r>
        <w:t xml:space="preserve">mation "réelle" de l'année (n) </w:t>
      </w:r>
      <w:r w:rsidRPr="005E4B78">
        <w:t>NC à la valeur cible corrigée N'B calculée précédemment.</w:t>
      </w:r>
    </w:p>
    <w:p w:rsidR="006603C4" w:rsidRDefault="006603C4" w:rsidP="006603C4">
      <w:pPr>
        <w:ind w:left="357"/>
      </w:pPr>
      <w:r>
        <w:t>Le calcul est réalisé globalement sur l’ensemble du périmètre.</w:t>
      </w:r>
    </w:p>
    <w:p w:rsidR="006603C4" w:rsidRDefault="006603C4" w:rsidP="006603C4">
      <w:pPr>
        <w:pStyle w:val="Titre3"/>
        <w:tabs>
          <w:tab w:val="clear" w:pos="1077"/>
        </w:tabs>
        <w:spacing w:after="120" w:line="276" w:lineRule="auto"/>
        <w:ind w:left="1843" w:right="-1741" w:hanging="567"/>
      </w:pPr>
      <w:bookmarkStart w:id="12" w:name="_Toc195880679"/>
      <w:r>
        <w:lastRenderedPageBreak/>
        <w:t>Tunnel de neutralisation</w:t>
      </w:r>
      <w:bookmarkEnd w:id="12"/>
    </w:p>
    <w:p w:rsidR="006603C4" w:rsidRDefault="006603C4" w:rsidP="006603C4">
      <w:pPr>
        <w:ind w:left="357"/>
      </w:pPr>
      <w:r>
        <w:t>La clause d’intéressement ne s’applique pas dans le cas où la consommation constatée NC est équivalente à la consomma</w:t>
      </w:r>
      <w:r w:rsidR="00F61E8D">
        <w:t>tion cible corrigée N’B, à +/- 5</w:t>
      </w:r>
      <w:r>
        <w:t>%.</w:t>
      </w:r>
    </w:p>
    <w:p w:rsidR="006603C4" w:rsidRDefault="006603C4" w:rsidP="006603C4">
      <w:pPr>
        <w:ind w:left="357"/>
        <w:contextualSpacing/>
      </w:pPr>
      <w:r>
        <w:t>Selon l’écart entre les quantités NC (quantité réelle d’énergie) et N’B (valeur cible corrigée), l’une des dispositions suivantes est appliquée :</w:t>
      </w:r>
    </w:p>
    <w:p w:rsidR="006603C4" w:rsidRDefault="006603C4" w:rsidP="006603C4">
      <w:pPr>
        <w:pStyle w:val="Paragraphedeliste"/>
        <w:numPr>
          <w:ilvl w:val="0"/>
          <w:numId w:val="23"/>
        </w:numPr>
        <w:spacing w:before="120" w:after="120"/>
        <w:ind w:left="1037" w:hanging="357"/>
      </w:pPr>
      <w:r>
        <w:t>Versement d’un intéressement au Titulaire si la consommati</w:t>
      </w:r>
      <w:bookmarkStart w:id="13" w:name="_GoBack"/>
      <w:bookmarkEnd w:id="13"/>
      <w:r>
        <w:t>on de ch</w:t>
      </w:r>
      <w:r w:rsidR="00F61E8D">
        <w:t>auffage est réduite de plus de 5</w:t>
      </w:r>
      <w:r>
        <w:t>% ;</w:t>
      </w:r>
    </w:p>
    <w:p w:rsidR="006603C4" w:rsidRDefault="006603C4" w:rsidP="006603C4">
      <w:pPr>
        <w:pStyle w:val="Paragraphedeliste"/>
        <w:numPr>
          <w:ilvl w:val="0"/>
          <w:numId w:val="23"/>
        </w:numPr>
        <w:spacing w:before="120" w:after="120"/>
        <w:ind w:left="1037" w:hanging="357"/>
      </w:pPr>
      <w:r>
        <w:t>Application d’une pénalité au Titulaire, si la consommation de chauffage aug</w:t>
      </w:r>
      <w:r w:rsidR="00F61E8D">
        <w:t>mente de plus de 5</w:t>
      </w:r>
      <w:r>
        <w:t>% ;</w:t>
      </w:r>
    </w:p>
    <w:p w:rsidR="006603C4" w:rsidRDefault="006603C4" w:rsidP="006603C4">
      <w:pPr>
        <w:pStyle w:val="Paragraphedeliste"/>
        <w:numPr>
          <w:ilvl w:val="0"/>
          <w:numId w:val="23"/>
        </w:numPr>
        <w:spacing w:before="120" w:after="120"/>
        <w:ind w:left="1037" w:hanging="357"/>
      </w:pPr>
      <w:r>
        <w:t>Ni intéressement ni pénalité si la consommation de c</w:t>
      </w:r>
      <w:r w:rsidR="002D39AC">
        <w:t>hauffag</w:t>
      </w:r>
      <w:r w:rsidR="00F61E8D">
        <w:t>e reste stable soit +/- 5</w:t>
      </w:r>
      <w:r>
        <w:t>% de la valeur cible N’B.</w:t>
      </w:r>
    </w:p>
    <w:p w:rsidR="006603C4" w:rsidRPr="00117FEC" w:rsidRDefault="006603C4" w:rsidP="006603C4">
      <w:pPr>
        <w:ind w:left="357"/>
      </w:pPr>
      <w:r w:rsidRPr="00B547D3">
        <w:rPr>
          <w:u w:val="single"/>
        </w:rPr>
        <w:t>Nota</w:t>
      </w:r>
      <w:r>
        <w:t xml:space="preserve"> : Si un gain ou un excès de consommation est constaté, les calculs d’intéressement s’établissent sans déduire le tunnel de neutralisation.</w:t>
      </w:r>
    </w:p>
    <w:p w:rsidR="006603C4" w:rsidRPr="004C4772" w:rsidRDefault="006603C4" w:rsidP="006603C4">
      <w:pPr>
        <w:pStyle w:val="Titre3"/>
        <w:tabs>
          <w:tab w:val="clear" w:pos="1077"/>
        </w:tabs>
        <w:spacing w:after="120" w:line="276" w:lineRule="auto"/>
        <w:ind w:left="1843" w:right="-1741" w:hanging="567"/>
        <w:rPr>
          <w:sz w:val="22"/>
          <w:szCs w:val="22"/>
        </w:rPr>
      </w:pPr>
      <w:bookmarkStart w:id="14" w:name="_Toc195880680"/>
      <w:r w:rsidRPr="004C4772">
        <w:rPr>
          <w:sz w:val="22"/>
          <w:szCs w:val="22"/>
        </w:rPr>
        <w:t>Calcul de l’intéressement I(n)</w:t>
      </w:r>
      <w:bookmarkEnd w:id="14"/>
    </w:p>
    <w:p w:rsidR="006603C4" w:rsidRDefault="006603C4" w:rsidP="006603C4">
      <w:pPr>
        <w:ind w:left="357"/>
      </w:pPr>
      <w:r>
        <w:t>L’intéressement démarrera dès la deuxième année calendaire d’exploitation, la première année servant à établir les valeurs de référence par le Titulaire.</w:t>
      </w:r>
    </w:p>
    <w:p w:rsidR="006603C4" w:rsidRPr="004D63D4" w:rsidRDefault="006603C4" w:rsidP="006603C4">
      <w:pPr>
        <w:pStyle w:val="Paragraphedeliste"/>
        <w:numPr>
          <w:ilvl w:val="0"/>
          <w:numId w:val="24"/>
        </w:numPr>
        <w:spacing w:before="120" w:after="120"/>
        <w:ind w:left="1071" w:hanging="357"/>
        <w:contextualSpacing w:val="0"/>
        <w:rPr>
          <w:i/>
          <w:u w:val="single"/>
        </w:rPr>
      </w:pPr>
      <w:r w:rsidRPr="004D63D4">
        <w:rPr>
          <w:i/>
          <w:u w:val="single"/>
        </w:rPr>
        <w:t>Economies de consommation</w:t>
      </w:r>
    </w:p>
    <w:p w:rsidR="006603C4" w:rsidRDefault="006603C4" w:rsidP="006603C4">
      <w:pPr>
        <w:ind w:left="357"/>
        <w:contextualSpacing/>
      </w:pPr>
      <w:r>
        <w:t xml:space="preserve">Si la quantité NC est </w:t>
      </w:r>
      <w:r w:rsidR="005B1B52">
        <w:t>inférieure à 0,96</w:t>
      </w:r>
      <w:r>
        <w:t xml:space="preserve"> x N'B, il est prévu l’intéressement suivant pour le Titulaire :</w:t>
      </w:r>
    </w:p>
    <w:p w:rsidR="006603C4" w:rsidRPr="006603C4" w:rsidRDefault="006603C4" w:rsidP="006603C4">
      <w:pPr>
        <w:ind w:left="357"/>
        <w:contextualSpacing/>
        <w:rPr>
          <w:lang w:val="en-US"/>
        </w:rPr>
      </w:pPr>
      <w:r>
        <w:tab/>
      </w:r>
      <w:r>
        <w:tab/>
      </w:r>
      <w:r>
        <w:tab/>
      </w:r>
      <w:proofErr w:type="gramStart"/>
      <w:r w:rsidRPr="006603C4">
        <w:rPr>
          <w:lang w:val="en-US"/>
        </w:rPr>
        <w:t>I(</w:t>
      </w:r>
      <w:proofErr w:type="gramEnd"/>
      <w:r w:rsidRPr="006603C4">
        <w:rPr>
          <w:lang w:val="en-US"/>
        </w:rPr>
        <w:t>n)  =  ½ x (N’B - NC) x k(n)</w:t>
      </w:r>
    </w:p>
    <w:p w:rsidR="006603C4" w:rsidRPr="004D63D4" w:rsidRDefault="006603C4" w:rsidP="006603C4">
      <w:pPr>
        <w:pStyle w:val="Paragraphedeliste"/>
        <w:keepNext/>
        <w:numPr>
          <w:ilvl w:val="0"/>
          <w:numId w:val="24"/>
        </w:numPr>
        <w:spacing w:before="120" w:after="120"/>
        <w:ind w:left="1071" w:hanging="357"/>
        <w:contextualSpacing w:val="0"/>
        <w:rPr>
          <w:i/>
          <w:u w:val="single"/>
        </w:rPr>
      </w:pPr>
      <w:r w:rsidRPr="004D63D4">
        <w:rPr>
          <w:i/>
          <w:u w:val="single"/>
        </w:rPr>
        <w:t>Excès de consommation</w:t>
      </w:r>
    </w:p>
    <w:p w:rsidR="006603C4" w:rsidRDefault="006603C4" w:rsidP="006603C4">
      <w:pPr>
        <w:keepNext/>
        <w:ind w:left="357"/>
        <w:contextualSpacing/>
      </w:pPr>
      <w:r>
        <w:t>Si la q</w:t>
      </w:r>
      <w:r w:rsidR="005B1B52">
        <w:t>uantité NC est supérieure à 1,04</w:t>
      </w:r>
      <w:r>
        <w:t xml:space="preserve"> x N’B, il est prévu la pénalité suivante pour le Titulaire :</w:t>
      </w:r>
    </w:p>
    <w:p w:rsidR="006603C4" w:rsidRPr="006603C4" w:rsidRDefault="006603C4" w:rsidP="006603C4">
      <w:pPr>
        <w:keepNext/>
        <w:ind w:left="357"/>
        <w:contextualSpacing/>
        <w:rPr>
          <w:lang w:val="en-US"/>
        </w:rPr>
      </w:pPr>
      <w:r>
        <w:tab/>
      </w:r>
      <w:r>
        <w:tab/>
      </w:r>
      <w:r>
        <w:tab/>
      </w:r>
      <w:proofErr w:type="gramStart"/>
      <w:r w:rsidRPr="006603C4">
        <w:rPr>
          <w:lang w:val="en-US"/>
        </w:rPr>
        <w:t>I(</w:t>
      </w:r>
      <w:proofErr w:type="gramEnd"/>
      <w:r w:rsidRPr="006603C4">
        <w:rPr>
          <w:lang w:val="en-US"/>
        </w:rPr>
        <w:t>n)  =  2/3 x (N’B - NC) x k(n)</w:t>
      </w:r>
    </w:p>
    <w:p w:rsidR="007E640C" w:rsidRPr="004C4772" w:rsidRDefault="007E640C" w:rsidP="007E640C">
      <w:pPr>
        <w:pStyle w:val="Titre3"/>
        <w:tabs>
          <w:tab w:val="clear" w:pos="1077"/>
        </w:tabs>
        <w:spacing w:after="120" w:line="276" w:lineRule="auto"/>
        <w:ind w:left="1843" w:right="-1741" w:hanging="567"/>
        <w:rPr>
          <w:sz w:val="22"/>
          <w:szCs w:val="22"/>
        </w:rPr>
      </w:pPr>
      <w:bookmarkStart w:id="15" w:name="_Toc195880684"/>
      <w:r w:rsidRPr="004C4772">
        <w:rPr>
          <w:sz w:val="22"/>
          <w:szCs w:val="22"/>
        </w:rPr>
        <w:t>Cas 3 : Travaux d’amélioration de la performance énergétique des bâtiments</w:t>
      </w:r>
      <w:bookmarkEnd w:id="15"/>
    </w:p>
    <w:p w:rsidR="007E640C" w:rsidRDefault="007E640C" w:rsidP="007E640C">
      <w:r w:rsidRPr="004437EC">
        <w:t>Dans le cas de refonte complète d’une ou plusieurs installations de production</w:t>
      </w:r>
      <w:r>
        <w:t xml:space="preserve"> ou d’isolation totale de bâtiments du </w:t>
      </w:r>
      <w:r w:rsidRPr="004437EC">
        <w:t xml:space="preserve">périmètre de la clause d’intéressement défini </w:t>
      </w:r>
      <w:r w:rsidRPr="005B1B52">
        <w:t xml:space="preserve">au § </w:t>
      </w:r>
      <w:r w:rsidR="005B1B52" w:rsidRPr="005B1B52">
        <w:t>1</w:t>
      </w:r>
      <w:r w:rsidRPr="005B1B52">
        <w:t>.1,</w:t>
      </w:r>
      <w:r w:rsidRPr="004437EC">
        <w:t xml:space="preserve"> la valeur cible contractuelle NB sera révisée de la façon suivante :</w:t>
      </w:r>
    </w:p>
    <w:p w:rsidR="007E640C" w:rsidRDefault="007E640C" w:rsidP="007E640C">
      <w:pPr>
        <w:pStyle w:val="Paragraphedeliste"/>
        <w:numPr>
          <w:ilvl w:val="0"/>
          <w:numId w:val="25"/>
        </w:numPr>
        <w:spacing w:before="120" w:after="120"/>
        <w:ind w:left="714" w:hanging="357"/>
        <w:contextualSpacing w:val="0"/>
        <w:rPr>
          <w:u w:val="single"/>
        </w:rPr>
      </w:pPr>
      <w:r>
        <w:rPr>
          <w:u w:val="single"/>
        </w:rPr>
        <w:t>Pendant l’année où sont menés les</w:t>
      </w:r>
      <w:r w:rsidRPr="004437EC">
        <w:rPr>
          <w:u w:val="single"/>
        </w:rPr>
        <w:t xml:space="preserve"> travaux</w:t>
      </w:r>
    </w:p>
    <w:p w:rsidR="007E640C" w:rsidRPr="00510C4B" w:rsidRDefault="007E640C" w:rsidP="007E640C">
      <w:pPr>
        <w:pStyle w:val="Paragraphedeliste"/>
        <w:spacing w:before="120" w:after="120"/>
        <w:ind w:left="714"/>
        <w:contextualSpacing w:val="0"/>
      </w:pPr>
      <w:r w:rsidRPr="00510C4B">
        <w:t>Les</w:t>
      </w:r>
      <w:r>
        <w:t xml:space="preserve"> productions de chaleur et bâtiments concernés par les travaux sont retirés provisoirement du périmètre de la clause d’intéressement.</w:t>
      </w:r>
    </w:p>
    <w:p w:rsidR="007E640C" w:rsidRPr="002F2EFB" w:rsidRDefault="007E640C" w:rsidP="007E640C">
      <w:pPr>
        <w:rPr>
          <w:b/>
        </w:rPr>
      </w:pPr>
      <m:oMathPara>
        <m:oMath>
          <m:r>
            <m:rPr>
              <m:sty m:val="bi"/>
            </m:rPr>
            <w:rPr>
              <w:rFonts w:ascii="Cambria Math" w:hAnsi="Cambria Math"/>
            </w:rPr>
            <m:t>NB révisée=NB-</m:t>
          </m:r>
          <m:nary>
            <m:naryPr>
              <m:chr m:val="∑"/>
              <m:limLoc m:val="undOvr"/>
              <m:supHide m:val="1"/>
              <m:ctrlPr>
                <w:rPr>
                  <w:rFonts w:ascii="Cambria Math" w:hAnsi="Cambria Math"/>
                  <w:b/>
                  <w:i/>
                </w:rPr>
              </m:ctrlPr>
            </m:naryPr>
            <m:sub>
              <m:r>
                <m:rPr>
                  <m:sty m:val="bi"/>
                </m:rPr>
                <w:rPr>
                  <w:rFonts w:ascii="Cambria Math" w:hAnsi="Cambria Math"/>
                </w:rPr>
                <m:t>j</m:t>
              </m:r>
            </m:sub>
            <m:sup/>
            <m:e>
              <m:r>
                <m:rPr>
                  <m:sty m:val="bi"/>
                </m:rPr>
                <w:rPr>
                  <w:rFonts w:ascii="Cambria Math" w:hAnsi="Cambria Math"/>
                </w:rPr>
                <m:t>NB(j)</m:t>
              </m:r>
            </m:e>
          </m:nary>
        </m:oMath>
      </m:oMathPara>
    </w:p>
    <w:p w:rsidR="007E640C" w:rsidRPr="004437EC" w:rsidRDefault="007E640C" w:rsidP="007E640C">
      <w:pPr>
        <w:contextualSpacing/>
      </w:pPr>
      <w:r w:rsidRPr="004437EC">
        <w:rPr>
          <w:u w:val="single"/>
        </w:rPr>
        <w:t>Avec</w:t>
      </w:r>
      <w:r w:rsidRPr="004437EC">
        <w:t> :</w:t>
      </w:r>
      <w:r w:rsidRPr="004437EC">
        <w:tab/>
      </w:r>
    </w:p>
    <w:p w:rsidR="007E640C" w:rsidRPr="004437EC" w:rsidRDefault="007E640C" w:rsidP="007E640C">
      <w:pPr>
        <w:numPr>
          <w:ilvl w:val="0"/>
          <w:numId w:val="19"/>
        </w:numPr>
        <w:spacing w:line="276" w:lineRule="auto"/>
        <w:contextualSpacing/>
      </w:pPr>
      <w:r w:rsidRPr="004437EC">
        <w:t>(j) : Production de chaleur des bâtiments</w:t>
      </w:r>
      <w:r>
        <w:t xml:space="preserve"> d</w:t>
      </w:r>
      <w:r w:rsidRPr="004437EC">
        <w:t>u périmètre de la clause d’intéressement</w:t>
      </w:r>
      <w:r>
        <w:t xml:space="preserve"> concernés par les travaux</w:t>
      </w:r>
      <w:r w:rsidRPr="004437EC">
        <w:t xml:space="preserve"> </w:t>
      </w:r>
    </w:p>
    <w:p w:rsidR="007E640C" w:rsidRPr="004437EC" w:rsidRDefault="007E640C" w:rsidP="007E640C">
      <w:pPr>
        <w:numPr>
          <w:ilvl w:val="0"/>
          <w:numId w:val="19"/>
        </w:numPr>
        <w:spacing w:line="276" w:lineRule="auto"/>
        <w:contextualSpacing/>
      </w:pPr>
      <m:oMath>
        <m:r>
          <w:rPr>
            <w:rFonts w:ascii="Cambria Math" w:hAnsi="Cambria Math"/>
          </w:rPr>
          <m:t>NB(j)</m:t>
        </m:r>
      </m:oMath>
      <w:r w:rsidRPr="004437EC">
        <w:t> : Quantité d’énergie théoriquement nécessaire au chauffage dans les conditions climatiques de référence, associée à la production (j)</w:t>
      </w:r>
    </w:p>
    <w:p w:rsidR="007E640C" w:rsidRPr="004437EC" w:rsidRDefault="007E640C" w:rsidP="007E640C">
      <w:pPr>
        <w:pStyle w:val="Paragraphedeliste"/>
        <w:numPr>
          <w:ilvl w:val="0"/>
          <w:numId w:val="25"/>
        </w:numPr>
        <w:spacing w:before="120" w:after="120"/>
        <w:ind w:left="714" w:hanging="357"/>
        <w:contextualSpacing w:val="0"/>
        <w:rPr>
          <w:u w:val="single"/>
        </w:rPr>
      </w:pPr>
      <w:r>
        <w:rPr>
          <w:u w:val="single"/>
        </w:rPr>
        <w:t>Pour les années post-travaux</w:t>
      </w:r>
    </w:p>
    <w:p w:rsidR="007E640C" w:rsidRPr="004437EC" w:rsidRDefault="007E640C" w:rsidP="007E640C">
      <w:r w:rsidRPr="00510C4B">
        <w:lastRenderedPageBreak/>
        <w:t>Les</w:t>
      </w:r>
      <w:r>
        <w:t xml:space="preserve"> productions de chaleur et bâtiments concernés par les travaux sont réinjectés dans le périmètre de la clause d’intéressement avec des valeurs de NB(j) recalculées.</w:t>
      </w:r>
    </w:p>
    <w:p w:rsidR="007E640C" w:rsidRDefault="007E640C" w:rsidP="00E30EED">
      <w:pPr>
        <w:pStyle w:val="Paragraphedeliste"/>
        <w:spacing w:before="120"/>
        <w:ind w:left="0"/>
        <w:rPr>
          <w:rFonts w:ascii="Times New Roman" w:hAnsi="Times New Roman"/>
          <w:b/>
        </w:rPr>
      </w:pPr>
    </w:p>
    <w:p w:rsidR="007E640C" w:rsidRPr="004437EC" w:rsidRDefault="007E640C" w:rsidP="007E640C"/>
    <w:p w:rsidR="007E640C" w:rsidRPr="004C4772" w:rsidRDefault="007E640C" w:rsidP="007E640C">
      <w:pPr>
        <w:pStyle w:val="Titre3"/>
        <w:tabs>
          <w:tab w:val="clear" w:pos="1077"/>
        </w:tabs>
        <w:spacing w:after="120" w:line="276" w:lineRule="auto"/>
        <w:ind w:left="1843" w:right="-1741" w:hanging="567"/>
        <w:rPr>
          <w:sz w:val="22"/>
          <w:szCs w:val="22"/>
        </w:rPr>
      </w:pPr>
      <w:bookmarkStart w:id="16" w:name="_Toc195880685"/>
      <w:r w:rsidRPr="004C4772">
        <w:rPr>
          <w:sz w:val="22"/>
          <w:szCs w:val="22"/>
        </w:rPr>
        <w:t>Cas 4 : Modification des températures intérieures</w:t>
      </w:r>
      <w:bookmarkEnd w:id="16"/>
    </w:p>
    <w:p w:rsidR="007E640C" w:rsidRDefault="007E640C" w:rsidP="007E640C">
      <w:r>
        <w:t>Dans le cas de modification des températures intérieures contractuelles durant la saison de chauffe de l’année n, d’un ou plusieurs bâtiments, l</w:t>
      </w:r>
      <w:r w:rsidRPr="00510C4B">
        <w:t>es</w:t>
      </w:r>
      <w:r>
        <w:t xml:space="preserve"> productions de chaleur et bâtiments concernés par cette modification sont retirés provisoirement du périmètre de la clause d’intéressement.</w:t>
      </w:r>
    </w:p>
    <w:p w:rsidR="007E640C" w:rsidRDefault="007E640C" w:rsidP="007E640C">
      <w:r>
        <w:t xml:space="preserve">La valeur cible contractuelle </w:t>
      </w:r>
      <w:r w:rsidRPr="008D4F60">
        <w:rPr>
          <w:u w:val="single"/>
        </w:rPr>
        <w:t>NB sera révisée à l’année n</w:t>
      </w:r>
      <w:r w:rsidRPr="008D4F60">
        <w:t xml:space="preserve"> </w:t>
      </w:r>
      <w:r>
        <w:t>de la façon suivante :</w:t>
      </w:r>
    </w:p>
    <w:p w:rsidR="007E640C" w:rsidRPr="00706DF8" w:rsidRDefault="007E640C" w:rsidP="007E640C">
      <w:pPr>
        <w:rPr>
          <w:b/>
        </w:rPr>
      </w:pPr>
      <m:oMathPara>
        <m:oMath>
          <m:r>
            <m:rPr>
              <m:sty m:val="bi"/>
            </m:rPr>
            <w:rPr>
              <w:rFonts w:ascii="Cambria Math" w:hAnsi="Cambria Math"/>
            </w:rPr>
            <m:t>NB révisée=NB-</m:t>
          </m:r>
          <m:nary>
            <m:naryPr>
              <m:chr m:val="∑"/>
              <m:limLoc m:val="undOvr"/>
              <m:supHide m:val="1"/>
              <m:ctrlPr>
                <w:rPr>
                  <w:rFonts w:ascii="Cambria Math" w:hAnsi="Cambria Math"/>
                  <w:b/>
                  <w:i/>
                </w:rPr>
              </m:ctrlPr>
            </m:naryPr>
            <m:sub>
              <m:r>
                <m:rPr>
                  <m:sty m:val="bi"/>
                </m:rPr>
                <w:rPr>
                  <w:rFonts w:ascii="Cambria Math" w:hAnsi="Cambria Math"/>
                </w:rPr>
                <m:t>j</m:t>
              </m:r>
            </m:sub>
            <m:sup/>
            <m:e>
              <m:r>
                <m:rPr>
                  <m:sty m:val="bi"/>
                </m:rPr>
                <w:rPr>
                  <w:rFonts w:ascii="Cambria Math" w:hAnsi="Cambria Math"/>
                </w:rPr>
                <m:t>NB(j)</m:t>
              </m:r>
            </m:e>
          </m:nary>
        </m:oMath>
      </m:oMathPara>
    </w:p>
    <w:p w:rsidR="007E640C" w:rsidRPr="00706DF8" w:rsidRDefault="007E640C" w:rsidP="007E640C">
      <w:pPr>
        <w:contextualSpacing/>
      </w:pPr>
      <w:r w:rsidRPr="00706DF8">
        <w:rPr>
          <w:u w:val="single"/>
        </w:rPr>
        <w:t>Avec</w:t>
      </w:r>
      <w:r w:rsidRPr="00706DF8">
        <w:t> :</w:t>
      </w:r>
      <w:r w:rsidRPr="00706DF8">
        <w:tab/>
      </w:r>
    </w:p>
    <w:p w:rsidR="007E640C" w:rsidRPr="00706DF8" w:rsidRDefault="007E640C" w:rsidP="007E640C">
      <w:pPr>
        <w:numPr>
          <w:ilvl w:val="0"/>
          <w:numId w:val="19"/>
        </w:numPr>
        <w:spacing w:line="276" w:lineRule="auto"/>
        <w:contextualSpacing/>
      </w:pPr>
      <w:r w:rsidRPr="00706DF8">
        <w:t xml:space="preserve">(j) : Production de chaleur des bâtiments du périmètre de la clause d’intéressement concernés par les </w:t>
      </w:r>
      <w:r>
        <w:t>modifications de température contractuelle</w:t>
      </w:r>
    </w:p>
    <w:p w:rsidR="007E640C" w:rsidRDefault="007E640C" w:rsidP="007E640C">
      <w:pPr>
        <w:numPr>
          <w:ilvl w:val="0"/>
          <w:numId w:val="19"/>
        </w:numPr>
        <w:spacing w:line="276" w:lineRule="auto"/>
        <w:contextualSpacing/>
      </w:pPr>
      <m:oMath>
        <m:r>
          <w:rPr>
            <w:rFonts w:ascii="Cambria Math" w:hAnsi="Cambria Math"/>
          </w:rPr>
          <m:t>NB(j)</m:t>
        </m:r>
      </m:oMath>
      <w:r w:rsidRPr="00706DF8">
        <w:t> : Quantité d’énergie théoriquement nécessaire au chauffage dans les conditions climatiques de référence, associée à la production (j)</w:t>
      </w:r>
    </w:p>
    <w:p w:rsidR="007E640C" w:rsidRPr="00706DF8" w:rsidRDefault="007E640C" w:rsidP="007E640C">
      <w:pPr>
        <w:ind w:left="360"/>
        <w:contextualSpacing/>
      </w:pPr>
    </w:p>
    <w:p w:rsidR="007E640C" w:rsidRDefault="007E640C" w:rsidP="007E640C">
      <w:r>
        <w:t>Pour l’année n+1, l</w:t>
      </w:r>
      <w:r w:rsidRPr="00510C4B">
        <w:t>es</w:t>
      </w:r>
      <w:r>
        <w:t xml:space="preserve"> productions de chaleur et bâtiments concernés par les modifications de température contractuelle sont réinjectés dans le périmètre de la clause d’intéressement avec de nouvelles valeurs de NB(j) proposées par le Titulaire. Ces valeurs sont à justifier par le Titulaire et seront soumises à l’approbation du </w:t>
      </w:r>
      <w:r w:rsidRPr="00C93185">
        <w:t>représentant de l’acheteur</w:t>
      </w:r>
      <w:r>
        <w:t>.</w:t>
      </w:r>
    </w:p>
    <w:p w:rsidR="007E640C" w:rsidRDefault="007E640C" w:rsidP="007E640C">
      <w:r w:rsidRPr="006127CF">
        <w:t xml:space="preserve">La valeur cible contractuelle </w:t>
      </w:r>
      <w:r w:rsidRPr="00A12E75">
        <w:rPr>
          <w:u w:val="single"/>
        </w:rPr>
        <w:t>NB sera révisée à l’année n+1</w:t>
      </w:r>
      <w:r w:rsidRPr="006127CF">
        <w:t xml:space="preserve"> de la façon suivante :</w:t>
      </w:r>
    </w:p>
    <w:p w:rsidR="007E640C" w:rsidRPr="004B046D" w:rsidRDefault="007E640C" w:rsidP="007E640C">
      <w:pPr>
        <w:rPr>
          <w:b/>
        </w:rPr>
      </w:pPr>
      <m:oMathPara>
        <m:oMath>
          <m:r>
            <m:rPr>
              <m:sty m:val="bi"/>
            </m:rPr>
            <w:rPr>
              <w:rFonts w:ascii="Cambria Math" w:hAnsi="Cambria Math"/>
            </w:rPr>
            <m:t>NB révisée=NB+</m:t>
          </m:r>
          <m:nary>
            <m:naryPr>
              <m:chr m:val="∑"/>
              <m:limLoc m:val="undOvr"/>
              <m:supHide m:val="1"/>
              <m:ctrlPr>
                <w:rPr>
                  <w:rFonts w:ascii="Cambria Math" w:hAnsi="Cambria Math"/>
                  <w:b/>
                  <w:i/>
                </w:rPr>
              </m:ctrlPr>
            </m:naryPr>
            <m:sub>
              <m:r>
                <m:rPr>
                  <m:sty m:val="bi"/>
                </m:rPr>
                <w:rPr>
                  <w:rFonts w:ascii="Cambria Math" w:hAnsi="Cambria Math"/>
                </w:rPr>
                <m:t>j</m:t>
              </m:r>
            </m:sub>
            <m:sup/>
            <m:e>
              <m:r>
                <m:rPr>
                  <m:sty m:val="bi"/>
                </m:rPr>
                <w:rPr>
                  <w:rFonts w:ascii="Cambria Math" w:hAnsi="Cambria Math"/>
                </w:rPr>
                <m:t>NB(j)</m:t>
              </m:r>
            </m:e>
          </m:nary>
        </m:oMath>
      </m:oMathPara>
    </w:p>
    <w:p w:rsidR="007E640C" w:rsidRPr="00706DF8" w:rsidRDefault="007E640C" w:rsidP="007E640C">
      <w:pPr>
        <w:keepNext/>
        <w:contextualSpacing/>
      </w:pPr>
      <w:r w:rsidRPr="00706DF8">
        <w:rPr>
          <w:u w:val="single"/>
        </w:rPr>
        <w:t>Avec</w:t>
      </w:r>
      <w:r w:rsidRPr="00706DF8">
        <w:t> :</w:t>
      </w:r>
      <w:r w:rsidRPr="00706DF8">
        <w:tab/>
      </w:r>
    </w:p>
    <w:p w:rsidR="007E640C" w:rsidRPr="00706DF8" w:rsidRDefault="007E640C" w:rsidP="007E640C">
      <w:pPr>
        <w:keepNext/>
        <w:numPr>
          <w:ilvl w:val="0"/>
          <w:numId w:val="19"/>
        </w:numPr>
        <w:spacing w:line="276" w:lineRule="auto"/>
        <w:contextualSpacing/>
      </w:pPr>
      <w:r w:rsidRPr="00706DF8">
        <w:t xml:space="preserve">(j) : Production de chaleur des bâtiments du périmètre de la clause d’intéressement concernés par les </w:t>
      </w:r>
      <w:r>
        <w:t>modifications de température contractuelle</w:t>
      </w:r>
    </w:p>
    <w:p w:rsidR="007E640C" w:rsidRPr="00706DF8" w:rsidRDefault="007E640C" w:rsidP="007E640C">
      <w:pPr>
        <w:keepNext/>
        <w:numPr>
          <w:ilvl w:val="0"/>
          <w:numId w:val="19"/>
        </w:numPr>
        <w:spacing w:line="276" w:lineRule="auto"/>
        <w:contextualSpacing/>
      </w:pPr>
      <m:oMath>
        <m:r>
          <w:rPr>
            <w:rFonts w:ascii="Cambria Math" w:hAnsi="Cambria Math"/>
          </w:rPr>
          <m:t>NB(j)</m:t>
        </m:r>
      </m:oMath>
      <w:r w:rsidRPr="00706DF8">
        <w:t> : Quantité d’énergie théoriquement nécessaire au chauffage dans les conditions climatiques de référence, associée à la production (j)</w:t>
      </w:r>
      <w:r>
        <w:t xml:space="preserve"> recalculée par le Titulaire.</w:t>
      </w:r>
    </w:p>
    <w:p w:rsidR="007E640C" w:rsidRPr="00B10F83" w:rsidRDefault="007E640C" w:rsidP="007E640C">
      <w:pPr>
        <w:pStyle w:val="Titre3"/>
        <w:tabs>
          <w:tab w:val="clear" w:pos="1077"/>
        </w:tabs>
        <w:spacing w:after="120" w:line="276" w:lineRule="auto"/>
        <w:ind w:left="1843" w:right="-1741" w:hanging="567"/>
        <w:rPr>
          <w:sz w:val="22"/>
          <w:szCs w:val="22"/>
        </w:rPr>
      </w:pPr>
      <w:bookmarkStart w:id="17" w:name="_Toc195880686"/>
      <w:r w:rsidRPr="00B10F83">
        <w:rPr>
          <w:sz w:val="22"/>
          <w:szCs w:val="22"/>
        </w:rPr>
        <w:t>Cas 5 : Ecarts importants constatés</w:t>
      </w:r>
      <w:bookmarkEnd w:id="17"/>
    </w:p>
    <w:p w:rsidR="007E640C" w:rsidRDefault="007E640C" w:rsidP="007E640C">
      <w:r w:rsidRPr="00463D0A">
        <w:t xml:space="preserve">La quantité NB peut être modifiée pour l’année suivante à la demande </w:t>
      </w:r>
      <w:r>
        <w:t xml:space="preserve">du Représentant de l’acheteur </w:t>
      </w:r>
      <w:r w:rsidRPr="00463D0A">
        <w:t xml:space="preserve">ou du </w:t>
      </w:r>
      <w:r>
        <w:t>Titulaire</w:t>
      </w:r>
      <w:r w:rsidRPr="00463D0A">
        <w:t xml:space="preserve">, si </w:t>
      </w:r>
      <w:r>
        <w:t xml:space="preserve">la quantité effective NC diffère de plus de </w:t>
      </w:r>
      <w:r w:rsidRPr="000C2169">
        <w:t xml:space="preserve">10% </w:t>
      </w:r>
      <w:r>
        <w:t xml:space="preserve">de la quantité théorique N’B pendant deux années successives ou de plus de 20% au cours d’une seule année, </w:t>
      </w:r>
    </w:p>
    <w:p w:rsidR="007E640C" w:rsidRPr="00372E4B" w:rsidRDefault="007E640C" w:rsidP="007E640C">
      <w:r w:rsidRPr="00372E4B">
        <w:t>Toutefois, la révision de NB ne sera effective que l’année suivante et les bonus/malus devront être appliquées sur l’année en cours.</w:t>
      </w:r>
    </w:p>
    <w:p w:rsidR="007E640C" w:rsidRDefault="007E640C" w:rsidP="007E640C">
      <w:r w:rsidRPr="00A12E75">
        <w:t xml:space="preserve">La valeur de NB sera révisée sur la base de justificatifs et fera l’objet d'un accord préalable entre le </w:t>
      </w:r>
      <w:r>
        <w:t>Titulaire</w:t>
      </w:r>
      <w:r w:rsidRPr="00A12E75">
        <w:t xml:space="preserve"> et </w:t>
      </w:r>
      <w:r>
        <w:t xml:space="preserve">le </w:t>
      </w:r>
      <w:r w:rsidRPr="00C93185">
        <w:t>représentant de l’acheteur</w:t>
      </w:r>
      <w:r>
        <w:rPr>
          <w:color w:val="FF0000"/>
        </w:rPr>
        <w:t>.</w:t>
      </w:r>
    </w:p>
    <w:p w:rsidR="00060D52" w:rsidRDefault="00060D52" w:rsidP="00060D52">
      <w:pPr>
        <w:pStyle w:val="Titre2"/>
        <w:tabs>
          <w:tab w:val="clear" w:pos="933"/>
        </w:tabs>
        <w:spacing w:after="120" w:line="276" w:lineRule="auto"/>
        <w:ind w:left="715" w:hanging="431"/>
      </w:pPr>
      <w:bookmarkStart w:id="18" w:name="_Toc195880687"/>
      <w:r>
        <w:lastRenderedPageBreak/>
        <w:t>Suivi des consommations pour le calcul de l’intéressement</w:t>
      </w:r>
      <w:bookmarkEnd w:id="18"/>
    </w:p>
    <w:p w:rsidR="00060D52" w:rsidRPr="00B10F83" w:rsidRDefault="00060D52" w:rsidP="00060D52">
      <w:pPr>
        <w:pStyle w:val="Titre3"/>
        <w:tabs>
          <w:tab w:val="clear" w:pos="1077"/>
        </w:tabs>
        <w:spacing w:after="120" w:line="276" w:lineRule="auto"/>
        <w:ind w:left="1843" w:right="-1741" w:hanging="567"/>
        <w:rPr>
          <w:sz w:val="22"/>
          <w:szCs w:val="22"/>
        </w:rPr>
      </w:pPr>
      <w:bookmarkStart w:id="19" w:name="_Toc195880688"/>
      <w:r w:rsidRPr="00B10F83">
        <w:rPr>
          <w:sz w:val="22"/>
          <w:szCs w:val="22"/>
        </w:rPr>
        <w:t>Plans de comptage</w:t>
      </w:r>
      <w:bookmarkEnd w:id="19"/>
    </w:p>
    <w:p w:rsidR="00060D52" w:rsidRDefault="00060D52" w:rsidP="00060D52">
      <w:r>
        <w:t>Avant la première période de saison de chauffe, le Titulaire</w:t>
      </w:r>
      <w:r w:rsidRPr="00BD7698">
        <w:t xml:space="preserve"> devra</w:t>
      </w:r>
      <w:r>
        <w:t xml:space="preserve"> au titre du </w:t>
      </w:r>
      <w:proofErr w:type="gramStart"/>
      <w:r>
        <w:t>marché  :</w:t>
      </w:r>
      <w:proofErr w:type="gramEnd"/>
    </w:p>
    <w:p w:rsidR="00060D52" w:rsidRDefault="00060D52" w:rsidP="00060D52">
      <w:pPr>
        <w:pStyle w:val="Paragraphedeliste"/>
        <w:numPr>
          <w:ilvl w:val="0"/>
          <w:numId w:val="27"/>
        </w:numPr>
        <w:spacing w:before="120" w:after="120"/>
        <w:contextualSpacing w:val="0"/>
      </w:pPr>
      <w:r w:rsidRPr="00BD7698">
        <w:t>Établir</w:t>
      </w:r>
      <w:r>
        <w:t xml:space="preserve"> avec précision l’inventaire</w:t>
      </w:r>
      <w:r w:rsidRPr="00BD7698">
        <w:t xml:space="preserve"> de tous les comptages </w:t>
      </w:r>
      <w:r>
        <w:t xml:space="preserve">existants </w:t>
      </w:r>
      <w:r w:rsidRPr="00BD7698">
        <w:t>et identifier les carences en compteurs nécessaires à la mise en plac</w:t>
      </w:r>
      <w:r>
        <w:t>e de la clause d’intéressement.</w:t>
      </w:r>
    </w:p>
    <w:p w:rsidR="005B1B52" w:rsidRDefault="00060D52" w:rsidP="005B1B52">
      <w:pPr>
        <w:pStyle w:val="Paragraphedeliste"/>
        <w:numPr>
          <w:ilvl w:val="0"/>
          <w:numId w:val="27"/>
        </w:numPr>
        <w:spacing w:before="120" w:after="120"/>
        <w:ind w:left="357" w:hanging="357"/>
        <w:contextualSpacing w:val="0"/>
      </w:pPr>
      <w:r>
        <w:t>Installer les compteurs manquants et remplacer les compteurs existants défectueux</w:t>
      </w:r>
      <w:r w:rsidR="005B1B52">
        <w:t>.</w:t>
      </w:r>
    </w:p>
    <w:p w:rsidR="00060D52" w:rsidRDefault="00060D52" w:rsidP="005B1B52">
      <w:pPr>
        <w:pStyle w:val="Paragraphedeliste"/>
        <w:spacing w:before="120" w:after="120"/>
        <w:ind w:left="357"/>
        <w:contextualSpacing w:val="0"/>
      </w:pPr>
      <w:r>
        <w:t>Devront en particulier être installés pour les installations n’en disposant pas, au titre de la part forfaitaire :</w:t>
      </w:r>
    </w:p>
    <w:p w:rsidR="00060D52" w:rsidRDefault="00060D52" w:rsidP="00060D52">
      <w:pPr>
        <w:pStyle w:val="Paragraphedeliste"/>
        <w:numPr>
          <w:ilvl w:val="0"/>
          <w:numId w:val="29"/>
        </w:numPr>
        <w:spacing w:before="120" w:after="120"/>
        <w:contextualSpacing w:val="0"/>
      </w:pPr>
      <w:r>
        <w:t>L</w:t>
      </w:r>
      <w:r w:rsidRPr="00BD7698">
        <w:t>es compteurs volumétriques d’eau froide alimentant les productions d’ECS</w:t>
      </w:r>
      <w:r>
        <w:t>,</w:t>
      </w:r>
    </w:p>
    <w:p w:rsidR="00060D52" w:rsidRDefault="00060D52" w:rsidP="00060D52">
      <w:pPr>
        <w:pStyle w:val="Paragraphedeliste"/>
        <w:numPr>
          <w:ilvl w:val="0"/>
          <w:numId w:val="27"/>
        </w:numPr>
        <w:spacing w:before="120" w:after="120"/>
        <w:ind w:left="357" w:hanging="357"/>
      </w:pPr>
      <w:r w:rsidRPr="004860E8">
        <w:t>Présenter un plan de</w:t>
      </w:r>
      <w:r>
        <w:t xml:space="preserve"> </w:t>
      </w:r>
      <w:r w:rsidRPr="004860E8">
        <w:t>mesurage, de comptage et de vérification des performances. Ce document devra notamment</w:t>
      </w:r>
      <w:r>
        <w:t xml:space="preserve"> </w:t>
      </w:r>
      <w:r w:rsidRPr="004860E8">
        <w:t>:</w:t>
      </w:r>
    </w:p>
    <w:p w:rsidR="00060D52" w:rsidRPr="004860E8" w:rsidRDefault="00060D52" w:rsidP="00060D52">
      <w:pPr>
        <w:pStyle w:val="Paragraphedeliste"/>
        <w:numPr>
          <w:ilvl w:val="0"/>
          <w:numId w:val="26"/>
        </w:numPr>
        <w:spacing w:before="120" w:after="120"/>
      </w:pPr>
      <w:r w:rsidRPr="004860E8">
        <w:t xml:space="preserve">Rappeler les performances attendues </w:t>
      </w:r>
      <w:r>
        <w:t>(au global et par production de chaleur)</w:t>
      </w:r>
      <w:r w:rsidRPr="004860E8">
        <w:t xml:space="preserve"> ;</w:t>
      </w:r>
    </w:p>
    <w:p w:rsidR="00060D52" w:rsidRDefault="00060D52" w:rsidP="00060D52">
      <w:pPr>
        <w:pStyle w:val="Paragraphedeliste"/>
        <w:numPr>
          <w:ilvl w:val="0"/>
          <w:numId w:val="26"/>
        </w:numPr>
        <w:spacing w:before="120" w:after="120"/>
      </w:pPr>
      <w:r w:rsidRPr="004860E8">
        <w:t>Définir le</w:t>
      </w:r>
      <w:r>
        <w:t>s</w:t>
      </w:r>
      <w:r w:rsidRPr="004860E8">
        <w:t xml:space="preserve"> plan</w:t>
      </w:r>
      <w:r>
        <w:t>s</w:t>
      </w:r>
      <w:r w:rsidRPr="004860E8">
        <w:t xml:space="preserve"> de comptage </w:t>
      </w:r>
      <w:r>
        <w:t>(au global et par production de chaleur)</w:t>
      </w:r>
      <w:r w:rsidRPr="004860E8">
        <w:t xml:space="preserve"> ;</w:t>
      </w:r>
      <w:r w:rsidRPr="0093654C">
        <w:t xml:space="preserve"> </w:t>
      </w:r>
    </w:p>
    <w:p w:rsidR="00060D52" w:rsidRPr="004860E8" w:rsidRDefault="00060D52" w:rsidP="00060D52">
      <w:pPr>
        <w:pStyle w:val="Paragraphedeliste"/>
        <w:numPr>
          <w:ilvl w:val="0"/>
          <w:numId w:val="26"/>
        </w:numPr>
        <w:spacing w:before="120" w:after="120"/>
      </w:pPr>
      <w:r w:rsidRPr="004860E8">
        <w:t xml:space="preserve">Spécifier </w:t>
      </w:r>
      <w:r>
        <w:t xml:space="preserve">par production de chaleur, </w:t>
      </w:r>
      <w:r w:rsidRPr="004860E8">
        <w:t>les points de mesurage des performances énergétiques, en établissant un schéma fonctionnel de</w:t>
      </w:r>
      <w:r>
        <w:t xml:space="preserve"> comptage ;</w:t>
      </w:r>
    </w:p>
    <w:p w:rsidR="00060D52" w:rsidRPr="004860E8" w:rsidRDefault="00060D52" w:rsidP="00060D52">
      <w:pPr>
        <w:pStyle w:val="Paragraphedeliste"/>
        <w:numPr>
          <w:ilvl w:val="0"/>
          <w:numId w:val="26"/>
        </w:numPr>
        <w:spacing w:before="120" w:after="120"/>
      </w:pPr>
      <w:r w:rsidRPr="004860E8">
        <w:t>Documenter la situation de référence (consommations de référence, installations techniques en</w:t>
      </w:r>
      <w:r>
        <w:t xml:space="preserve"> place</w:t>
      </w:r>
      <w:r w:rsidRPr="004860E8">
        <w:t>, durée de la saison de chauffe, température à respecter</w:t>
      </w:r>
      <w:r>
        <w:t xml:space="preserve"> </w:t>
      </w:r>
      <w:r w:rsidRPr="004860E8">
        <w:t>dans les locaux, etc.) ;</w:t>
      </w:r>
    </w:p>
    <w:p w:rsidR="00060D52" w:rsidRPr="004860E8" w:rsidRDefault="00060D52" w:rsidP="00060D52">
      <w:pPr>
        <w:pStyle w:val="Paragraphedeliste"/>
        <w:numPr>
          <w:ilvl w:val="0"/>
          <w:numId w:val="26"/>
        </w:numPr>
        <w:spacing w:before="120" w:after="120"/>
      </w:pPr>
      <w:r w:rsidRPr="004860E8">
        <w:t>Identifier la période de suivi ;</w:t>
      </w:r>
    </w:p>
    <w:p w:rsidR="00060D52" w:rsidRPr="004860E8" w:rsidRDefault="00060D52" w:rsidP="00060D52">
      <w:pPr>
        <w:pStyle w:val="Paragraphedeliste"/>
        <w:numPr>
          <w:ilvl w:val="0"/>
          <w:numId w:val="26"/>
        </w:numPr>
        <w:spacing w:before="120" w:after="120"/>
      </w:pPr>
      <w:r w:rsidRPr="004860E8">
        <w:t>Indiquer la date théorique retenue pour effectuer les relevés ;</w:t>
      </w:r>
    </w:p>
    <w:p w:rsidR="00060D52" w:rsidRPr="004860E8" w:rsidRDefault="00060D52" w:rsidP="00060D52">
      <w:pPr>
        <w:pStyle w:val="Paragraphedeliste"/>
        <w:numPr>
          <w:ilvl w:val="0"/>
          <w:numId w:val="26"/>
        </w:numPr>
        <w:spacing w:before="120" w:after="120"/>
      </w:pPr>
      <w:r w:rsidRPr="004860E8">
        <w:t>Définir les paramètres et les conditions d’ajustement périodiques des consommations de référence (DJU,</w:t>
      </w:r>
      <w:r>
        <w:t xml:space="preserve"> </w:t>
      </w:r>
      <w:r w:rsidRPr="004860E8">
        <w:t>consommations volumétriques</w:t>
      </w:r>
      <w:r>
        <w:t xml:space="preserve"> ECS</w:t>
      </w:r>
      <w:r w:rsidRPr="004860E8">
        <w:t>, etc.) ;</w:t>
      </w:r>
    </w:p>
    <w:p w:rsidR="00060D52" w:rsidRDefault="00060D52" w:rsidP="00060D52">
      <w:pPr>
        <w:pStyle w:val="Paragraphedeliste"/>
        <w:numPr>
          <w:ilvl w:val="0"/>
          <w:numId w:val="26"/>
        </w:numPr>
        <w:spacing w:before="120" w:after="120"/>
      </w:pPr>
      <w:r>
        <w:t>Indiquer</w:t>
      </w:r>
      <w:r w:rsidRPr="004860E8">
        <w:t xml:space="preserve"> les règles de valorisation des performances énergétiques, ce qui permet de calculer les pénalités</w:t>
      </w:r>
      <w:r>
        <w:t xml:space="preserve">, </w:t>
      </w:r>
      <w:r w:rsidRPr="0073553B">
        <w:t>les prix unitaires des én</w:t>
      </w:r>
      <w:r>
        <w:t>ergies seront notamment précisé</w:t>
      </w:r>
      <w:r w:rsidRPr="0073553B">
        <w:t>s</w:t>
      </w:r>
      <w:r>
        <w:t xml:space="preserve"> par production ;</w:t>
      </w:r>
    </w:p>
    <w:p w:rsidR="00060D52" w:rsidRPr="004860E8" w:rsidRDefault="00060D52" w:rsidP="00060D52">
      <w:pPr>
        <w:pStyle w:val="Paragraphedeliste"/>
        <w:numPr>
          <w:ilvl w:val="0"/>
          <w:numId w:val="26"/>
        </w:numPr>
        <w:spacing w:before="120" w:after="120"/>
      </w:pPr>
      <w:r w:rsidRPr="004860E8">
        <w:t xml:space="preserve">Arrêter et fournir un </w:t>
      </w:r>
      <w:r>
        <w:t xml:space="preserve">outil (fichier Excel) et un </w:t>
      </w:r>
      <w:r w:rsidRPr="004860E8">
        <w:t>modèle de rap</w:t>
      </w:r>
      <w:r>
        <w:t>port de suivi des performances.</w:t>
      </w:r>
    </w:p>
    <w:p w:rsidR="00060D52" w:rsidRPr="0088202E" w:rsidRDefault="00060D52" w:rsidP="00060D52">
      <w:r w:rsidRPr="00410ADF">
        <w:rPr>
          <w:u w:val="single"/>
        </w:rPr>
        <w:t>Principes à retenir pour l’élaboration des plans de comptage et mesurage</w:t>
      </w:r>
      <w:r>
        <w:t> :</w:t>
      </w:r>
    </w:p>
    <w:p w:rsidR="00060D52" w:rsidRDefault="00060D52" w:rsidP="00060D52">
      <w:pPr>
        <w:pStyle w:val="Paragraphedeliste"/>
        <w:numPr>
          <w:ilvl w:val="0"/>
          <w:numId w:val="28"/>
        </w:numPr>
        <w:spacing w:before="120" w:after="120"/>
        <w:ind w:left="714" w:hanging="357"/>
      </w:pPr>
      <w:r>
        <w:t xml:space="preserve">Ces plans doivent permettre le calcul des valeurs </w:t>
      </w:r>
      <w:r w:rsidRPr="00362314">
        <w:t>de NC et NC(i)</w:t>
      </w:r>
      <w:r>
        <w:t xml:space="preserve"> correspondant aux quantités d’énergie réellement consommées par les différentes productions de chaleur pour le chauffage des bâtiments.</w:t>
      </w:r>
    </w:p>
    <w:p w:rsidR="00060D52" w:rsidRDefault="00060D52" w:rsidP="00060D52">
      <w:pPr>
        <w:pStyle w:val="Paragraphedeliste"/>
        <w:numPr>
          <w:ilvl w:val="0"/>
          <w:numId w:val="28"/>
        </w:numPr>
        <w:spacing w:before="120" w:after="120"/>
        <w:ind w:left="714" w:hanging="357"/>
      </w:pPr>
      <w:r>
        <w:t>Doivent figurer au minimum :</w:t>
      </w:r>
    </w:p>
    <w:p w:rsidR="00060D52" w:rsidRDefault="00060D52" w:rsidP="00060D52">
      <w:pPr>
        <w:pStyle w:val="Paragraphedeliste"/>
        <w:numPr>
          <w:ilvl w:val="1"/>
          <w:numId w:val="28"/>
        </w:numPr>
        <w:spacing w:before="120" w:after="120"/>
      </w:pPr>
      <w:r>
        <w:t>Les compteurs d’énergie thermique des postes de livraison RCU (compteurs de facturation),</w:t>
      </w:r>
    </w:p>
    <w:p w:rsidR="00060D52" w:rsidRDefault="00060D52" w:rsidP="00060D52">
      <w:pPr>
        <w:pStyle w:val="Paragraphedeliste"/>
        <w:numPr>
          <w:ilvl w:val="1"/>
          <w:numId w:val="28"/>
        </w:numPr>
        <w:spacing w:before="120" w:after="120"/>
      </w:pPr>
      <w:r w:rsidRPr="00A02501">
        <w:t xml:space="preserve">Les compteurs d’énergie thermique installés sur les primaires ECS </w:t>
      </w:r>
      <w:r>
        <w:t>dans les sous-stations RCU [quand ils existent],</w:t>
      </w:r>
    </w:p>
    <w:p w:rsidR="00060D52" w:rsidRDefault="00060D52" w:rsidP="00060D52">
      <w:pPr>
        <w:pStyle w:val="Paragraphedeliste"/>
        <w:numPr>
          <w:ilvl w:val="1"/>
          <w:numId w:val="28"/>
        </w:numPr>
        <w:spacing w:before="120" w:after="120"/>
      </w:pPr>
      <w:r>
        <w:t>Les compteurs volumétriques d’EF pour la production d’ECS.</w:t>
      </w:r>
    </w:p>
    <w:p w:rsidR="00060D52" w:rsidRDefault="00060D52" w:rsidP="00060D52">
      <w:pPr>
        <w:pStyle w:val="Paragraphedeliste"/>
        <w:numPr>
          <w:ilvl w:val="0"/>
          <w:numId w:val="28"/>
        </w:numPr>
        <w:spacing w:before="120" w:after="120"/>
        <w:ind w:left="714" w:hanging="357"/>
      </w:pPr>
      <w:r>
        <w:t xml:space="preserve">Dans le cas où une production de chaleur comprend une fourniture d'Eau Chaude Sanitaire (ECS) et que la consommation d’énergie nécessaire au chauffage des locaux ne peut être différenciée par comptage de celle nécessaire à la fourniture de l'ECS, la quantité d’énergie NC(i) consommée pour le chauffage des locaux sera prise égale à </w:t>
      </w:r>
      <w:r>
        <w:lastRenderedPageBreak/>
        <w:t xml:space="preserve">la quantité totale d’énergie consommée pendant la période réelle de chauffage diminuée d’une estimation de la quantité d’énergie nécessaire pour la production de l'ECS pendant la même période. Cette dernière quantité sera calculée en multipliant les consommations d’ECS relevées en m³ par un coefficient q(i) exprimé en kWh/m³ d’ECS et propre à chaque production (i). </w:t>
      </w:r>
    </w:p>
    <w:p w:rsidR="00060D52" w:rsidRDefault="00060D52" w:rsidP="00060D52">
      <w:pPr>
        <w:pStyle w:val="Paragraphedeliste"/>
        <w:numPr>
          <w:ilvl w:val="1"/>
          <w:numId w:val="28"/>
        </w:numPr>
        <w:spacing w:before="120" w:after="120"/>
      </w:pPr>
      <w:proofErr w:type="gramStart"/>
      <w:r>
        <w:t>q</w:t>
      </w:r>
      <w:proofErr w:type="gramEnd"/>
      <w:r>
        <w:t>(i) correspond à la quantité d’énergie nécessaire pour chauffer 1 m</w:t>
      </w:r>
      <w:r w:rsidRPr="00410ADF">
        <w:rPr>
          <w:vertAlign w:val="superscript"/>
        </w:rPr>
        <w:t>3</w:t>
      </w:r>
      <w:r>
        <w:t xml:space="preserve"> d’eau à la température ECS de consigne. </w:t>
      </w:r>
    </w:p>
    <w:p w:rsidR="00060D52" w:rsidRDefault="00060D52" w:rsidP="00060D52">
      <w:pPr>
        <w:pStyle w:val="Paragraphedeliste"/>
        <w:numPr>
          <w:ilvl w:val="1"/>
          <w:numId w:val="28"/>
        </w:numPr>
        <w:spacing w:before="120" w:after="120"/>
      </w:pPr>
      <w:r>
        <w:t xml:space="preserve">Les valeurs des coefficients q(i) seront déterminées par production concernée, et en accord avec le </w:t>
      </w:r>
      <w:r w:rsidRPr="00C93185">
        <w:t xml:space="preserve">représentant de l’acheteur </w:t>
      </w:r>
      <w:r>
        <w:t xml:space="preserve">garanties contractuellement par le Titulaire à l’issu de la première année d’exploitation. </w:t>
      </w:r>
    </w:p>
    <w:p w:rsidR="00060D52" w:rsidRPr="0088202E" w:rsidRDefault="00060D52" w:rsidP="00060D52">
      <w:pPr>
        <w:pStyle w:val="Paragraphedeliste"/>
        <w:spacing w:before="120" w:after="120"/>
        <w:contextualSpacing w:val="0"/>
      </w:pPr>
      <w:r>
        <w:t xml:space="preserve">Ces grandeurs sont des invariants sur la durée du marché, leur modification devra fera l’objet d’un </w:t>
      </w:r>
      <w:r w:rsidRPr="00440050">
        <w:t>avenant au marché.</w:t>
      </w:r>
    </w:p>
    <w:p w:rsidR="00060D52" w:rsidRPr="00B10F83" w:rsidRDefault="00060D52" w:rsidP="00060D52">
      <w:pPr>
        <w:pStyle w:val="Titre3"/>
        <w:tabs>
          <w:tab w:val="clear" w:pos="1077"/>
        </w:tabs>
        <w:spacing w:after="120" w:line="276" w:lineRule="auto"/>
        <w:ind w:left="1843" w:right="-1741" w:hanging="567"/>
        <w:rPr>
          <w:sz w:val="22"/>
          <w:szCs w:val="22"/>
        </w:rPr>
      </w:pPr>
      <w:bookmarkStart w:id="20" w:name="_Toc195806035"/>
      <w:bookmarkStart w:id="21" w:name="_Toc195864632"/>
      <w:bookmarkStart w:id="22" w:name="_Toc195880689"/>
      <w:bookmarkEnd w:id="20"/>
      <w:bookmarkEnd w:id="21"/>
      <w:r w:rsidRPr="00B10F83">
        <w:rPr>
          <w:sz w:val="22"/>
          <w:szCs w:val="22"/>
        </w:rPr>
        <w:t>Etablissement de la consommation de référence</w:t>
      </w:r>
      <w:bookmarkEnd w:id="22"/>
    </w:p>
    <w:p w:rsidR="00060D52" w:rsidRPr="00440050" w:rsidRDefault="00060D52" w:rsidP="00060D52">
      <w:r w:rsidRPr="00E77971">
        <w:t>La consommation annuelle de référence [</w:t>
      </w:r>
      <w:proofErr w:type="spellStart"/>
      <w:r w:rsidRPr="00E77971">
        <w:t>Créf</w:t>
      </w:r>
      <w:proofErr w:type="spellEnd"/>
      <w:r w:rsidRPr="00E77971">
        <w:t>], ainsi que les consommations de référence associées à chaque production [</w:t>
      </w:r>
      <w:proofErr w:type="spellStart"/>
      <w:r w:rsidRPr="00E77971">
        <w:t>Créf</w:t>
      </w:r>
      <w:proofErr w:type="spellEnd"/>
      <w:r w:rsidRPr="00E77971">
        <w:t xml:space="preserve"> (i)] sont à établir par le </w:t>
      </w:r>
      <w:r>
        <w:t>Titulaire</w:t>
      </w:r>
      <w:r w:rsidRPr="00E77971">
        <w:t xml:space="preserve"> </w:t>
      </w:r>
      <w:r w:rsidRPr="005B1B52">
        <w:t xml:space="preserve">lors de la première année d’exploitation selon les plans de comptage et mesurage définis au § </w:t>
      </w:r>
      <w:r w:rsidR="005B1B52" w:rsidRPr="005B1B52">
        <w:t>1.3</w:t>
      </w:r>
      <w:r w:rsidRPr="005B1B52">
        <w:t>.1.</w:t>
      </w:r>
    </w:p>
    <w:p w:rsidR="00060D52" w:rsidRPr="00440050" w:rsidRDefault="00060D52" w:rsidP="00060D52">
      <w:r w:rsidRPr="00440050">
        <w:t>Les DJU de référence [</w:t>
      </w:r>
      <w:proofErr w:type="spellStart"/>
      <w:r w:rsidRPr="00440050">
        <w:t>DJUréférence</w:t>
      </w:r>
      <w:proofErr w:type="spellEnd"/>
      <w:r w:rsidRPr="00440050">
        <w:t xml:space="preserve">] pour la période de chauffe sont ceux correspondant à la première année d’exploitation, calculés conformément au </w:t>
      </w:r>
      <w:r w:rsidRPr="005B1B52">
        <w:t xml:space="preserve">§ </w:t>
      </w:r>
      <w:r w:rsidR="005B1B52" w:rsidRPr="005B1B52">
        <w:t>1.2.1</w:t>
      </w:r>
      <w:r w:rsidRPr="005B1B52">
        <w:t>.</w:t>
      </w:r>
    </w:p>
    <w:p w:rsidR="00060D52" w:rsidRDefault="00060D52" w:rsidP="00060D52">
      <w:r w:rsidRPr="00440050">
        <w:t>Ces grandeurs sont des invariants sur la durée du marché, leur modification devra fera l’objet d’un avenant au marché.</w:t>
      </w:r>
    </w:p>
    <w:p w:rsidR="00060D52" w:rsidRPr="00B10F83" w:rsidRDefault="00060D52" w:rsidP="00060D52">
      <w:pPr>
        <w:pStyle w:val="Titre3"/>
        <w:tabs>
          <w:tab w:val="clear" w:pos="1077"/>
        </w:tabs>
        <w:spacing w:after="120" w:line="276" w:lineRule="auto"/>
        <w:ind w:left="1843" w:right="-1741" w:hanging="567"/>
        <w:rPr>
          <w:sz w:val="22"/>
          <w:szCs w:val="22"/>
        </w:rPr>
      </w:pPr>
      <w:bookmarkStart w:id="23" w:name="_Toc195880690"/>
      <w:r w:rsidRPr="00B10F83">
        <w:rPr>
          <w:sz w:val="22"/>
          <w:szCs w:val="22"/>
        </w:rPr>
        <w:t>Suivi mensuel des consommations</w:t>
      </w:r>
      <w:bookmarkEnd w:id="23"/>
    </w:p>
    <w:p w:rsidR="00060D52" w:rsidRPr="00440050" w:rsidRDefault="005B1B52" w:rsidP="00060D52">
      <w:r>
        <w:t>L</w:t>
      </w:r>
      <w:r w:rsidR="00060D52" w:rsidRPr="00440050">
        <w:t xml:space="preserve">e Titulaire aura en charge le suivi et l’analyse des consommations </w:t>
      </w:r>
      <w:r w:rsidR="00060D52">
        <w:t xml:space="preserve">des </w:t>
      </w:r>
      <w:r w:rsidR="00060D52" w:rsidRPr="00440050">
        <w:t>sous-stations RCU et des bâtiments desservis du périmètre de la clause d’intéressement.</w:t>
      </w:r>
    </w:p>
    <w:p w:rsidR="00060D52" w:rsidRPr="00440050" w:rsidRDefault="00060D52" w:rsidP="00060D52">
      <w:r w:rsidRPr="00440050">
        <w:t xml:space="preserve">A cette fin, les relevés d’index de tous les compteurs identifiés dans les plans de comptage définis au </w:t>
      </w:r>
      <w:r w:rsidRPr="005B1B52">
        <w:t xml:space="preserve">§ </w:t>
      </w:r>
      <w:r w:rsidR="005B1B52" w:rsidRPr="005B1B52">
        <w:t>1.3</w:t>
      </w:r>
      <w:r w:rsidRPr="005B1B52">
        <w:t>.1</w:t>
      </w:r>
      <w:r w:rsidRPr="00440050">
        <w:t xml:space="preserve"> devront être effectués mensuellement et consignés dans le rapport de suivi des performances.</w:t>
      </w:r>
    </w:p>
    <w:p w:rsidR="00060D52" w:rsidRPr="00440050" w:rsidRDefault="00060D52" w:rsidP="00060D52">
      <w:r w:rsidRPr="00440050">
        <w:t xml:space="preserve">Le Titulaire transmettra mensuellement les relevés des compteurs au </w:t>
      </w:r>
      <w:r w:rsidRPr="00C93185">
        <w:t>représentant de l’acheteur</w:t>
      </w:r>
      <w:r w:rsidRPr="00440050">
        <w:t xml:space="preserve">. </w:t>
      </w:r>
    </w:p>
    <w:p w:rsidR="00060D52" w:rsidRDefault="00060D52" w:rsidP="00060D52">
      <w:r w:rsidRPr="00440050">
        <w:t xml:space="preserve">Le suivi des consommations pourra faire l'objet de vérifications par le </w:t>
      </w:r>
      <w:r w:rsidRPr="00C93185">
        <w:t>représentant de l’acheteur</w:t>
      </w:r>
      <w:r w:rsidRPr="00440050">
        <w:t>.</w:t>
      </w:r>
    </w:p>
    <w:p w:rsidR="00555382" w:rsidRDefault="00E30EED" w:rsidP="00555382">
      <w:pPr>
        <w:pStyle w:val="Titre2"/>
        <w:tabs>
          <w:tab w:val="clear" w:pos="933"/>
        </w:tabs>
        <w:spacing w:after="120" w:line="276" w:lineRule="auto"/>
        <w:ind w:left="715" w:hanging="431"/>
      </w:pPr>
      <w:r w:rsidRPr="007E640C">
        <w:rPr>
          <w:rFonts w:ascii="Times New Roman" w:hAnsi="Times New Roman"/>
          <w:b/>
        </w:rPr>
        <w:br w:type="page"/>
      </w:r>
      <w:bookmarkStart w:id="24" w:name="_Toc195880691"/>
      <w:r w:rsidR="00555382">
        <w:lastRenderedPageBreak/>
        <w:t>Contrôle et enregistrement des températures intérieures</w:t>
      </w:r>
      <w:bookmarkEnd w:id="24"/>
    </w:p>
    <w:p w:rsidR="00555382" w:rsidRDefault="00555382" w:rsidP="00555382">
      <w:r>
        <w:t xml:space="preserve">Le Titulaire procèdera durant la période de chauffe, à des campagnes de mesures régulières de température ambiante dans les bâtiments chauffés de façon à s’assurer de l’atteinte du niveau de confort requis, en </w:t>
      </w:r>
      <w:r w:rsidRPr="00845EE4">
        <w:t xml:space="preserve">particulier les températures intérieures contractuelles indiquées au § </w:t>
      </w:r>
      <w:r w:rsidR="005B1B52">
        <w:t>3 du CCTP ST2.</w:t>
      </w:r>
      <w:r w:rsidR="004D050D">
        <w:t>1. Les</w:t>
      </w:r>
      <w:r>
        <w:t xml:space="preserve"> campagnes de mesure doivent être réalisées dans minimum 5 locaux judicieusement répartis (si possible au 4 points cardinaux).</w:t>
      </w:r>
    </w:p>
    <w:p w:rsidR="00555382" w:rsidRDefault="00555382" w:rsidP="00555382">
      <w:r>
        <w:t xml:space="preserve">Le </w:t>
      </w:r>
      <w:r w:rsidRPr="00C93185">
        <w:t xml:space="preserve">représentant de l’acheteur </w:t>
      </w:r>
      <w:r>
        <w:t>pourra également procéder en complément à des mesures de température avec son matériel propre.</w:t>
      </w:r>
    </w:p>
    <w:p w:rsidR="00555382" w:rsidRDefault="00555382" w:rsidP="00555382">
      <w:r w:rsidRPr="009B1195">
        <w:t xml:space="preserve">Chaque année, l’ensemble des bâtiments concernés par </w:t>
      </w:r>
      <w:r>
        <w:t>la clause d</w:t>
      </w:r>
      <w:r w:rsidRPr="009B1195">
        <w:t xml:space="preserve">’intéressement </w:t>
      </w:r>
      <w:r>
        <w:t>devra avoir fait l’objet d’au moins une campagne de mesures de température (soit environ 2 campagnes de mesures simultanées).</w:t>
      </w:r>
      <w:r w:rsidRPr="00BF5721">
        <w:t xml:space="preserve"> A cette fin, le Titulaire transmettra en </w:t>
      </w:r>
      <w:r>
        <w:t>octobre</w:t>
      </w:r>
      <w:r w:rsidRPr="00BF5721">
        <w:t xml:space="preserve"> de chaque année, la </w:t>
      </w:r>
      <w:r w:rsidR="004D050D" w:rsidRPr="00BF5721">
        <w:t>planification</w:t>
      </w:r>
      <w:r w:rsidRPr="00BF5721">
        <w:t xml:space="preserve"> de ces campagnes </w:t>
      </w:r>
      <w:r>
        <w:t>pour la saison de chauffe suivante</w:t>
      </w:r>
      <w:r w:rsidRPr="00BF5721">
        <w:t>.</w:t>
      </w:r>
    </w:p>
    <w:p w:rsidR="00555382" w:rsidRDefault="00555382" w:rsidP="00555382">
      <w:r>
        <w:t>Les enregistrements seront faits sur une période d’au moins 8 jours consécutifs par mesure. Le pas d’enregistrement doit être de 30 minutes maximum.</w:t>
      </w:r>
    </w:p>
    <w:p w:rsidR="00555382" w:rsidRDefault="00555382" w:rsidP="00555382">
      <w:r>
        <w:t>La fourniture, mise en place des thermomètres/enregistreurs et leurs relevés sont à la charge du Titulaire.</w:t>
      </w:r>
    </w:p>
    <w:p w:rsidR="00555382" w:rsidRDefault="00555382" w:rsidP="00555382">
      <w:r>
        <w:t>Les manques ou excès de température devront être corrigés et une mesure de température après correction devra être effectuée. Les déséquilibres de températures constatés dans un même bâtiment devront être corrigés par action sur les organes de réglage.</w:t>
      </w:r>
    </w:p>
    <w:p w:rsidR="00555382" w:rsidRDefault="00555382" w:rsidP="00555382">
      <w:r>
        <w:t>Les résultats des campagnes de mesure devront être fournis</w:t>
      </w:r>
      <w:r w:rsidRPr="00BF5721">
        <w:t xml:space="preserve"> mensuellement</w:t>
      </w:r>
      <w:r>
        <w:t xml:space="preserve"> au </w:t>
      </w:r>
      <w:r w:rsidRPr="00C93185">
        <w:t xml:space="preserve">représentant de l’acheteur </w:t>
      </w:r>
      <w:r>
        <w:t>sous format Excel exploitable et seront</w:t>
      </w:r>
      <w:r w:rsidRPr="005E27A8">
        <w:t xml:space="preserve"> consignés dans le rapport de suivi des performances</w:t>
      </w:r>
      <w:r>
        <w:t>.</w:t>
      </w:r>
    </w:p>
    <w:p w:rsidR="00555382" w:rsidRDefault="00555382" w:rsidP="00555382">
      <w:pPr>
        <w:rPr>
          <w:rFonts w:cs="Arial"/>
        </w:rPr>
      </w:pPr>
      <w:r w:rsidRPr="00732740">
        <w:rPr>
          <w:rFonts w:cs="Arial"/>
        </w:rPr>
        <w:t xml:space="preserve">La </w:t>
      </w:r>
      <w:r w:rsidRPr="00732740">
        <w:rPr>
          <w:rFonts w:cs="Arial"/>
          <w:b/>
        </w:rPr>
        <w:t>température moyenne</w:t>
      </w:r>
      <w:r>
        <w:rPr>
          <w:rFonts w:cs="Arial"/>
          <w:b/>
        </w:rPr>
        <w:t xml:space="preserve"> réelle</w:t>
      </w:r>
      <w:r w:rsidRPr="00732740">
        <w:rPr>
          <w:rFonts w:cs="Arial"/>
        </w:rPr>
        <w:t xml:space="preserve"> est calculé</w:t>
      </w:r>
      <w:r>
        <w:rPr>
          <w:rFonts w:cs="Arial"/>
        </w:rPr>
        <w:t xml:space="preserve">e </w:t>
      </w:r>
      <w:r w:rsidRPr="00732740">
        <w:rPr>
          <w:rFonts w:cs="Arial"/>
        </w:rPr>
        <w:t>en faisant la moyenne des températures mesuré</w:t>
      </w:r>
      <w:r>
        <w:rPr>
          <w:rFonts w:cs="Arial"/>
        </w:rPr>
        <w:t>e</w:t>
      </w:r>
      <w:r w:rsidRPr="00732740">
        <w:rPr>
          <w:rFonts w:cs="Arial"/>
        </w:rPr>
        <w:t>s sur 7 jours consécutifs dans l’ensemble des locaux de mesure d’un bâtiment</w:t>
      </w:r>
      <w:r>
        <w:rPr>
          <w:rFonts w:cs="Arial"/>
        </w:rPr>
        <w:t xml:space="preserve"> (5 minimum)</w:t>
      </w:r>
      <w:r w:rsidRPr="00732740">
        <w:rPr>
          <w:rFonts w:cs="Arial"/>
        </w:rPr>
        <w:t>.</w:t>
      </w:r>
    </w:p>
    <w:p w:rsidR="00555382" w:rsidRDefault="00555382" w:rsidP="00555382">
      <w:pPr>
        <w:rPr>
          <w:rFonts w:cs="Arial"/>
        </w:rPr>
      </w:pPr>
      <w:r w:rsidRPr="00732740">
        <w:rPr>
          <w:rFonts w:cs="Arial"/>
        </w:rPr>
        <w:t xml:space="preserve">La </w:t>
      </w:r>
      <w:r w:rsidRPr="00732740">
        <w:rPr>
          <w:rFonts w:cs="Arial"/>
          <w:b/>
        </w:rPr>
        <w:t>température moyenne théorique</w:t>
      </w:r>
      <w:r w:rsidRPr="00732740">
        <w:rPr>
          <w:rFonts w:cs="Arial"/>
        </w:rPr>
        <w:t xml:space="preserve"> est calculée</w:t>
      </w:r>
      <w:r>
        <w:rPr>
          <w:rFonts w:cs="Arial"/>
        </w:rPr>
        <w:t> :</w:t>
      </w:r>
    </w:p>
    <w:p w:rsidR="00555382" w:rsidRDefault="00555382" w:rsidP="00555382">
      <w:pPr>
        <w:pStyle w:val="Paragraphedeliste"/>
        <w:numPr>
          <w:ilvl w:val="0"/>
          <w:numId w:val="28"/>
        </w:numPr>
        <w:spacing w:before="120" w:after="120"/>
        <w:contextualSpacing w:val="0"/>
        <w:rPr>
          <w:rFonts w:cs="Arial"/>
        </w:rPr>
      </w:pPr>
      <w:r w:rsidRPr="00732740">
        <w:rPr>
          <w:rFonts w:cs="Arial"/>
          <w:u w:val="single"/>
        </w:rPr>
        <w:t>Durant l’année de référence :</w:t>
      </w:r>
      <w:r w:rsidRPr="00732740">
        <w:rPr>
          <w:rFonts w:cs="Arial"/>
        </w:rPr>
        <w:t xml:space="preserve"> en faisant la moyenne des températures de consignes dans les locaux, pondérés par la durée des plages horaire entre la consigne de température normale et de réduit.</w:t>
      </w:r>
    </w:p>
    <w:p w:rsidR="00555382" w:rsidRPr="004C7A74" w:rsidRDefault="00555382" w:rsidP="00555382">
      <w:pPr>
        <w:rPr>
          <w:rFonts w:cs="Arial"/>
          <w:i/>
          <w:iCs/>
          <w:sz w:val="20"/>
          <w:u w:val="single"/>
        </w:rPr>
      </w:pPr>
      <w:r w:rsidRPr="004C7A74">
        <w:rPr>
          <w:rFonts w:cs="Arial"/>
          <w:i/>
          <w:iCs/>
          <w:sz w:val="20"/>
          <w:u w:val="single"/>
        </w:rPr>
        <w:t>Exemple :</w:t>
      </w:r>
    </w:p>
    <w:p w:rsidR="00555382" w:rsidRPr="004C7A74" w:rsidRDefault="00555382" w:rsidP="00555382">
      <w:pPr>
        <w:rPr>
          <w:rFonts w:cs="Arial"/>
          <w:i/>
          <w:iCs/>
          <w:sz w:val="20"/>
        </w:rPr>
      </w:pPr>
      <w:r w:rsidRPr="004C7A74">
        <w:rPr>
          <w:rFonts w:cs="Arial"/>
          <w:i/>
          <w:iCs/>
          <w:sz w:val="20"/>
        </w:rPr>
        <w:t>Dans un bureau dont la température normale est de 19° de 8h à 17h et la température réduite de 16° de 17h à 8h et tout le week-end :</w:t>
      </w:r>
    </w:p>
    <w:p w:rsidR="00555382" w:rsidRPr="00327B3F" w:rsidRDefault="00555382" w:rsidP="00555382">
      <w:pPr>
        <w:rPr>
          <w:rFonts w:cs="Arial"/>
          <w:i/>
          <w:iCs/>
          <w:sz w:val="20"/>
        </w:rPr>
      </w:pPr>
      <w:r w:rsidRPr="004C7A74">
        <w:rPr>
          <w:rFonts w:cs="Arial"/>
          <w:i/>
          <w:iCs/>
          <w:sz w:val="20"/>
        </w:rPr>
        <w:t xml:space="preserve">Température moyenne </w:t>
      </w:r>
      <w:r>
        <w:rPr>
          <w:rFonts w:cs="Arial"/>
          <w:i/>
          <w:iCs/>
          <w:sz w:val="20"/>
        </w:rPr>
        <w:t>de consigne</w:t>
      </w:r>
      <w:r w:rsidRPr="004C7A74">
        <w:rPr>
          <w:rFonts w:cs="Arial"/>
          <w:i/>
          <w:iCs/>
          <w:sz w:val="20"/>
        </w:rPr>
        <w:t xml:space="preserve"> = (19*9*5+16*15*5+16*24*2) /168 = 16,8°</w:t>
      </w:r>
    </w:p>
    <w:p w:rsidR="00555382" w:rsidRPr="00732740" w:rsidRDefault="00555382" w:rsidP="00555382">
      <w:pPr>
        <w:pStyle w:val="Paragraphedeliste"/>
        <w:numPr>
          <w:ilvl w:val="0"/>
          <w:numId w:val="28"/>
        </w:numPr>
        <w:spacing w:before="120" w:after="120"/>
        <w:contextualSpacing w:val="0"/>
        <w:rPr>
          <w:rFonts w:cs="Arial"/>
          <w:u w:val="single"/>
        </w:rPr>
      </w:pPr>
      <w:r w:rsidRPr="00732740">
        <w:rPr>
          <w:rFonts w:cs="Arial"/>
          <w:u w:val="single"/>
        </w:rPr>
        <w:t xml:space="preserve">En dehors de l’année de référence : </w:t>
      </w:r>
      <w:r w:rsidRPr="00732740">
        <w:rPr>
          <w:rFonts w:cs="Arial"/>
        </w:rPr>
        <w:t>en faisant la moyenne des températures de consignes dans les locaux</w:t>
      </w:r>
      <w:r>
        <w:rPr>
          <w:rFonts w:cs="Arial"/>
        </w:rPr>
        <w:t xml:space="preserve"> durant la période d’occupation uniquement.</w:t>
      </w:r>
    </w:p>
    <w:p w:rsidR="00E30EED" w:rsidRDefault="00E30EED" w:rsidP="00E30EED">
      <w:pPr>
        <w:pStyle w:val="Paragraphedeliste"/>
        <w:spacing w:before="120"/>
        <w:ind w:left="0"/>
        <w:rPr>
          <w:b/>
        </w:rPr>
      </w:pPr>
    </w:p>
    <w:p w:rsidR="00555382" w:rsidRDefault="00555382" w:rsidP="00555382">
      <w:pPr>
        <w:pStyle w:val="Titre2"/>
        <w:tabs>
          <w:tab w:val="clear" w:pos="933"/>
        </w:tabs>
        <w:spacing w:after="120" w:line="276" w:lineRule="auto"/>
        <w:ind w:left="715" w:hanging="431"/>
      </w:pPr>
      <w:bookmarkStart w:id="25" w:name="_Toc195880692"/>
      <w:r>
        <w:t>Bilan annuel et analyse des résultats</w:t>
      </w:r>
      <w:bookmarkEnd w:id="25"/>
    </w:p>
    <w:p w:rsidR="00555382" w:rsidRDefault="00555382" w:rsidP="00555382">
      <w:r w:rsidRPr="00845EE4">
        <w:t xml:space="preserve">En début de chaque année, le Titulaire présente au représentant </w:t>
      </w:r>
      <w:r>
        <w:t xml:space="preserve">du </w:t>
      </w:r>
      <w:r w:rsidRPr="00C93185">
        <w:t xml:space="preserve">représentant de l’acheteur </w:t>
      </w:r>
      <w:r w:rsidRPr="00845EE4">
        <w:t xml:space="preserve">un bilan </w:t>
      </w:r>
      <w:r>
        <w:t xml:space="preserve">sous forme de rapport </w:t>
      </w:r>
      <w:r w:rsidRPr="00845EE4">
        <w:t>de l’ensemble des résultats de consommation et de performance de l’année précédente. Ce bilan sera annexé au rapport annuel d’exploitation/maintenance.</w:t>
      </w:r>
      <w:r w:rsidR="00AF2C8A">
        <w:t xml:space="preserve"> Un exemple est proposé en annexe « </w:t>
      </w:r>
      <w:proofErr w:type="spellStart"/>
      <w:r w:rsidR="00AF2C8A">
        <w:t>cctp</w:t>
      </w:r>
      <w:proofErr w:type="spellEnd"/>
      <w:r w:rsidR="00AF2C8A">
        <w:t xml:space="preserve"> – performance »</w:t>
      </w:r>
    </w:p>
    <w:p w:rsidR="00555382" w:rsidRDefault="00555382" w:rsidP="00555382">
      <w:r>
        <w:lastRenderedPageBreak/>
        <w:t>Seront présentés à minima :</w:t>
      </w:r>
    </w:p>
    <w:p w:rsidR="00555382" w:rsidRDefault="00555382" w:rsidP="00555382">
      <w:pPr>
        <w:pStyle w:val="Paragraphedeliste"/>
        <w:numPr>
          <w:ilvl w:val="0"/>
          <w:numId w:val="28"/>
        </w:numPr>
        <w:spacing w:before="120" w:after="120"/>
        <w:ind w:left="714" w:hanging="357"/>
      </w:pPr>
      <w:r>
        <w:t>L’évolution annuelle des consommations au niveau des différentes productions de chaleur et des sous-stations desservies,</w:t>
      </w:r>
    </w:p>
    <w:p w:rsidR="00555382" w:rsidRDefault="00555382" w:rsidP="00555382">
      <w:pPr>
        <w:pStyle w:val="Paragraphedeliste"/>
        <w:numPr>
          <w:ilvl w:val="0"/>
          <w:numId w:val="28"/>
        </w:numPr>
        <w:spacing w:before="120" w:after="120"/>
        <w:ind w:left="714" w:hanging="357"/>
      </w:pPr>
      <w:r>
        <w:t xml:space="preserve">Les </w:t>
      </w:r>
      <w:proofErr w:type="spellStart"/>
      <w:r>
        <w:t>sur</w:t>
      </w:r>
      <w:proofErr w:type="spellEnd"/>
      <w:r>
        <w:t>/sous-consommations constatées,</w:t>
      </w:r>
    </w:p>
    <w:p w:rsidR="00555382" w:rsidRDefault="00555382" w:rsidP="00555382">
      <w:pPr>
        <w:pStyle w:val="Paragraphedeliste"/>
        <w:numPr>
          <w:ilvl w:val="0"/>
          <w:numId w:val="28"/>
        </w:numPr>
        <w:spacing w:before="120" w:after="120"/>
        <w:ind w:left="714" w:hanging="357"/>
      </w:pPr>
      <w:r>
        <w:t xml:space="preserve">Les explications relatives à ces </w:t>
      </w:r>
      <w:proofErr w:type="spellStart"/>
      <w:r>
        <w:t>sur</w:t>
      </w:r>
      <w:proofErr w:type="spellEnd"/>
      <w:r>
        <w:t>/sous-consommations,</w:t>
      </w:r>
    </w:p>
    <w:p w:rsidR="00555382" w:rsidRDefault="00555382" w:rsidP="00555382">
      <w:pPr>
        <w:pStyle w:val="Paragraphedeliste"/>
        <w:numPr>
          <w:ilvl w:val="0"/>
          <w:numId w:val="28"/>
        </w:numPr>
        <w:spacing w:before="120" w:after="120"/>
        <w:ind w:left="714" w:hanging="357"/>
      </w:pPr>
      <w:r>
        <w:t>Le calcul de NC et NC(i)</w:t>
      </w:r>
    </w:p>
    <w:p w:rsidR="00555382" w:rsidRDefault="00555382" w:rsidP="00555382">
      <w:pPr>
        <w:pStyle w:val="Paragraphedeliste"/>
        <w:numPr>
          <w:ilvl w:val="0"/>
          <w:numId w:val="28"/>
        </w:numPr>
        <w:spacing w:before="120" w:after="120"/>
        <w:ind w:left="714" w:hanging="357"/>
      </w:pPr>
      <w:r>
        <w:t>Le calcul du k(n),</w:t>
      </w:r>
    </w:p>
    <w:p w:rsidR="00555382" w:rsidRDefault="00555382" w:rsidP="00555382">
      <w:pPr>
        <w:pStyle w:val="Paragraphedeliste"/>
        <w:numPr>
          <w:ilvl w:val="0"/>
          <w:numId w:val="28"/>
        </w:numPr>
        <w:spacing w:before="120" w:after="120"/>
        <w:ind w:left="714" w:hanging="357"/>
      </w:pPr>
      <w:r>
        <w:t xml:space="preserve">Le calcul des </w:t>
      </w:r>
      <w:proofErr w:type="spellStart"/>
      <w:r>
        <w:t>DJUréels</w:t>
      </w:r>
      <w:proofErr w:type="spellEnd"/>
      <w:r>
        <w:t>(i) par production</w:t>
      </w:r>
    </w:p>
    <w:p w:rsidR="00555382" w:rsidRDefault="00555382" w:rsidP="00555382">
      <w:pPr>
        <w:pStyle w:val="Paragraphedeliste"/>
        <w:numPr>
          <w:ilvl w:val="0"/>
          <w:numId w:val="28"/>
        </w:numPr>
        <w:spacing w:before="120" w:after="120"/>
        <w:ind w:left="714" w:hanging="357"/>
      </w:pPr>
      <w:r>
        <w:t>Le calcul de N’B(n)</w:t>
      </w:r>
    </w:p>
    <w:p w:rsidR="00555382" w:rsidRDefault="00555382" w:rsidP="00555382">
      <w:pPr>
        <w:pStyle w:val="Paragraphedeliste"/>
        <w:numPr>
          <w:ilvl w:val="0"/>
          <w:numId w:val="28"/>
        </w:numPr>
        <w:spacing w:before="120" w:after="120"/>
        <w:ind w:left="714" w:hanging="357"/>
      </w:pPr>
      <w:r>
        <w:t>Le calcul de l’intéressement I(n),</w:t>
      </w:r>
    </w:p>
    <w:p w:rsidR="00555382" w:rsidRDefault="00555382" w:rsidP="00555382">
      <w:pPr>
        <w:pStyle w:val="Paragraphedeliste"/>
        <w:numPr>
          <w:ilvl w:val="0"/>
          <w:numId w:val="28"/>
        </w:numPr>
        <w:spacing w:before="120" w:after="120"/>
        <w:ind w:left="714" w:hanging="357"/>
      </w:pPr>
      <w:r>
        <w:t>Le calcul du Prix Forfaitaire PF’(n),</w:t>
      </w:r>
    </w:p>
    <w:p w:rsidR="00555382" w:rsidRDefault="00555382" w:rsidP="00555382">
      <w:pPr>
        <w:pStyle w:val="Paragraphedeliste"/>
        <w:numPr>
          <w:ilvl w:val="0"/>
          <w:numId w:val="28"/>
        </w:numPr>
        <w:spacing w:before="120" w:after="120"/>
        <w:ind w:left="714" w:hanging="357"/>
      </w:pPr>
      <w:r>
        <w:t>Les révisions de la valeur cible NB le cas échéant,</w:t>
      </w:r>
    </w:p>
    <w:p w:rsidR="00555382" w:rsidRDefault="00555382" w:rsidP="00555382">
      <w:pPr>
        <w:pStyle w:val="Paragraphedeliste"/>
        <w:numPr>
          <w:ilvl w:val="0"/>
          <w:numId w:val="28"/>
        </w:numPr>
        <w:spacing w:before="120" w:after="120"/>
        <w:ind w:left="714" w:hanging="357"/>
      </w:pPr>
      <w:r>
        <w:t>L’évolution des rendements de combustion des chaufferies,</w:t>
      </w:r>
    </w:p>
    <w:p w:rsidR="00555382" w:rsidRDefault="00555382" w:rsidP="00555382">
      <w:pPr>
        <w:pStyle w:val="Paragraphedeliste"/>
        <w:numPr>
          <w:ilvl w:val="0"/>
          <w:numId w:val="28"/>
        </w:numPr>
        <w:spacing w:before="120" w:after="120"/>
        <w:ind w:left="714" w:hanging="357"/>
      </w:pPr>
      <w:r>
        <w:t>Les résultats des campagnes de mesure des températures intérieures,</w:t>
      </w:r>
    </w:p>
    <w:p w:rsidR="00555382" w:rsidRDefault="00555382" w:rsidP="00555382">
      <w:pPr>
        <w:pStyle w:val="Paragraphedeliste"/>
        <w:numPr>
          <w:ilvl w:val="0"/>
          <w:numId w:val="28"/>
        </w:numPr>
        <w:spacing w:before="120" w:after="120"/>
        <w:ind w:left="714" w:hanging="357"/>
      </w:pPr>
      <w:r>
        <w:t>Les améliorations apportées au cours de l’année,</w:t>
      </w:r>
    </w:p>
    <w:p w:rsidR="00555382" w:rsidRDefault="00555382" w:rsidP="00555382">
      <w:pPr>
        <w:pStyle w:val="Paragraphedeliste"/>
        <w:numPr>
          <w:ilvl w:val="0"/>
          <w:numId w:val="28"/>
        </w:numPr>
        <w:spacing w:before="120" w:after="120"/>
        <w:ind w:left="714" w:hanging="357"/>
      </w:pPr>
      <w:r>
        <w:t>Le plan d’actions pour l’année suivante.</w:t>
      </w:r>
    </w:p>
    <w:p w:rsidR="00555382" w:rsidRDefault="00555382" w:rsidP="00E30EED">
      <w:pPr>
        <w:pStyle w:val="Paragraphedeliste"/>
        <w:spacing w:before="120"/>
        <w:ind w:left="0"/>
        <w:rPr>
          <w:b/>
        </w:rPr>
      </w:pPr>
    </w:p>
    <w:p w:rsidR="0044498A" w:rsidRDefault="0044498A" w:rsidP="0044498A">
      <w:pPr>
        <w:pStyle w:val="Titre1"/>
        <w:numPr>
          <w:ilvl w:val="0"/>
          <w:numId w:val="0"/>
        </w:numPr>
      </w:pPr>
      <w:r>
        <w:t>Consommations et factures RCU</w:t>
      </w:r>
    </w:p>
    <w:p w:rsidR="00B60FC2" w:rsidRPr="00B60FC2" w:rsidRDefault="00B60FC2" w:rsidP="00B60FC2"/>
    <w:p w:rsidR="0044498A" w:rsidRDefault="00B60FC2" w:rsidP="0044498A">
      <w:pPr>
        <w:numPr>
          <w:ilvl w:val="0"/>
          <w:numId w:val="16"/>
        </w:numPr>
        <w:spacing w:before="0" w:after="0" w:line="276" w:lineRule="auto"/>
      </w:pPr>
      <w:r>
        <w:t>Factures des 3 dernières saison de chauffe</w:t>
      </w:r>
      <w:r w:rsidR="004D050D">
        <w:t xml:space="preserve"> (€ TTC)</w:t>
      </w:r>
      <w:r>
        <w:t xml:space="preserve"> : </w:t>
      </w:r>
    </w:p>
    <w:p w:rsidR="00B60FC2" w:rsidRDefault="00B60FC2" w:rsidP="00B60FC2">
      <w:pPr>
        <w:spacing w:before="0" w:after="0" w:line="276" w:lineRule="auto"/>
      </w:pPr>
    </w:p>
    <w:tbl>
      <w:tblPr>
        <w:tblW w:w="375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3"/>
        <w:gridCol w:w="1118"/>
        <w:gridCol w:w="1292"/>
      </w:tblGrid>
      <w:tr w:rsidR="00B60FC2" w:rsidRPr="00B60FC2" w:rsidTr="004D050D">
        <w:trPr>
          <w:trHeight w:val="315"/>
        </w:trPr>
        <w:tc>
          <w:tcPr>
            <w:tcW w:w="1343" w:type="dxa"/>
            <w:tcBorders>
              <w:right w:val="nil"/>
            </w:tcBorders>
            <w:shd w:val="clear" w:color="auto" w:fill="auto"/>
            <w:noWrap/>
            <w:vAlign w:val="bottom"/>
          </w:tcPr>
          <w:p w:rsidR="00B60FC2" w:rsidRPr="00B60FC2" w:rsidRDefault="00B60FC2" w:rsidP="00861E84">
            <w:pPr>
              <w:spacing w:before="0" w:after="0"/>
              <w:jc w:val="center"/>
              <w:rPr>
                <w:rFonts w:ascii="Calibri" w:hAnsi="Calibri" w:cs="Calibri"/>
                <w:color w:val="000000"/>
                <w:szCs w:val="22"/>
              </w:rPr>
            </w:pPr>
          </w:p>
        </w:tc>
        <w:tc>
          <w:tcPr>
            <w:tcW w:w="1118" w:type="dxa"/>
            <w:tcBorders>
              <w:left w:val="nil"/>
              <w:right w:val="nil"/>
            </w:tcBorders>
            <w:shd w:val="clear" w:color="auto" w:fill="auto"/>
            <w:noWrap/>
            <w:vAlign w:val="bottom"/>
          </w:tcPr>
          <w:p w:rsidR="00B60FC2" w:rsidRPr="00CA1A55" w:rsidRDefault="00B60FC2" w:rsidP="00861E84">
            <w:pPr>
              <w:spacing w:before="0" w:after="0"/>
              <w:jc w:val="center"/>
              <w:rPr>
                <w:rFonts w:ascii="Calibri" w:hAnsi="Calibri" w:cs="Calibri"/>
                <w:b/>
                <w:color w:val="000000"/>
                <w:szCs w:val="22"/>
              </w:rPr>
            </w:pPr>
            <w:r w:rsidRPr="00CA1A55">
              <w:rPr>
                <w:rFonts w:ascii="Calibri" w:hAnsi="Calibri" w:cs="Calibri"/>
                <w:b/>
                <w:color w:val="000000"/>
                <w:szCs w:val="22"/>
              </w:rPr>
              <w:t xml:space="preserve">CMV </w:t>
            </w:r>
          </w:p>
        </w:tc>
        <w:tc>
          <w:tcPr>
            <w:tcW w:w="1292" w:type="dxa"/>
            <w:tcBorders>
              <w:left w:val="nil"/>
            </w:tcBorders>
            <w:shd w:val="clear" w:color="auto" w:fill="auto"/>
            <w:noWrap/>
            <w:vAlign w:val="bottom"/>
          </w:tcPr>
          <w:p w:rsidR="00B60FC2" w:rsidRPr="00B60FC2" w:rsidRDefault="00B60FC2" w:rsidP="00861E84">
            <w:pPr>
              <w:spacing w:before="0" w:after="0"/>
              <w:jc w:val="center"/>
              <w:rPr>
                <w:rFonts w:ascii="Calibri" w:hAnsi="Calibri" w:cs="Calibri"/>
                <w:color w:val="000000"/>
                <w:szCs w:val="22"/>
              </w:rPr>
            </w:pPr>
          </w:p>
        </w:tc>
      </w:tr>
      <w:tr w:rsidR="00B60FC2" w:rsidRPr="00B60FC2" w:rsidTr="004D050D">
        <w:trPr>
          <w:trHeight w:val="315"/>
        </w:trPr>
        <w:tc>
          <w:tcPr>
            <w:tcW w:w="1343" w:type="dxa"/>
            <w:shd w:val="clear" w:color="auto" w:fill="auto"/>
            <w:noWrap/>
            <w:vAlign w:val="bottom"/>
            <w:hideMark/>
          </w:tcPr>
          <w:p w:rsidR="00B60FC2" w:rsidRPr="00B60FC2" w:rsidRDefault="00B60FC2" w:rsidP="00861E84">
            <w:pPr>
              <w:spacing w:before="0" w:after="0"/>
              <w:jc w:val="center"/>
              <w:rPr>
                <w:rFonts w:ascii="Calibri" w:hAnsi="Calibri" w:cs="Calibri"/>
                <w:color w:val="000000"/>
                <w:szCs w:val="22"/>
              </w:rPr>
            </w:pPr>
            <w:r>
              <w:rPr>
                <w:rFonts w:ascii="Calibri" w:hAnsi="Calibri" w:cs="Calibri"/>
                <w:color w:val="000000"/>
                <w:szCs w:val="22"/>
              </w:rPr>
              <w:t xml:space="preserve"> </w:t>
            </w:r>
            <w:r w:rsidRPr="00B60FC2">
              <w:rPr>
                <w:rFonts w:ascii="Calibri" w:hAnsi="Calibri" w:cs="Calibri"/>
                <w:color w:val="000000"/>
                <w:szCs w:val="22"/>
              </w:rPr>
              <w:t>2022/2023</w:t>
            </w:r>
          </w:p>
        </w:tc>
        <w:tc>
          <w:tcPr>
            <w:tcW w:w="1118" w:type="dxa"/>
            <w:shd w:val="clear" w:color="auto" w:fill="auto"/>
            <w:noWrap/>
            <w:vAlign w:val="bottom"/>
            <w:hideMark/>
          </w:tcPr>
          <w:p w:rsidR="00B60FC2" w:rsidRPr="00B60FC2" w:rsidRDefault="00B60FC2" w:rsidP="00861E84">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92" w:type="dxa"/>
            <w:shd w:val="clear" w:color="auto" w:fill="auto"/>
            <w:noWrap/>
            <w:vAlign w:val="bottom"/>
            <w:hideMark/>
          </w:tcPr>
          <w:p w:rsidR="00B60FC2" w:rsidRPr="00B60FC2" w:rsidRDefault="00B60FC2" w:rsidP="00861E84">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B60FC2" w:rsidRPr="00B60FC2" w:rsidTr="004D050D">
        <w:trPr>
          <w:trHeight w:val="315"/>
        </w:trPr>
        <w:tc>
          <w:tcPr>
            <w:tcW w:w="1343" w:type="dxa"/>
            <w:shd w:val="clear" w:color="auto" w:fill="C5E0B3"/>
            <w:noWrap/>
            <w:vAlign w:val="bottom"/>
            <w:hideMark/>
          </w:tcPr>
          <w:p w:rsidR="00B60FC2" w:rsidRPr="00B60FC2" w:rsidRDefault="00B60FC2" w:rsidP="00861E84">
            <w:pPr>
              <w:spacing w:before="0" w:after="0"/>
              <w:jc w:val="center"/>
              <w:rPr>
                <w:rFonts w:ascii="Calibri" w:hAnsi="Calibri" w:cs="Calibri"/>
                <w:color w:val="000000"/>
                <w:szCs w:val="22"/>
              </w:rPr>
            </w:pPr>
            <w:r w:rsidRPr="00B60FC2">
              <w:rPr>
                <w:rFonts w:ascii="Calibri" w:hAnsi="Calibri" w:cs="Calibri"/>
                <w:color w:val="000000"/>
                <w:szCs w:val="22"/>
              </w:rPr>
              <w:t>600903,76</w:t>
            </w:r>
            <w:r w:rsidR="004D050D">
              <w:rPr>
                <w:rFonts w:ascii="Calibri" w:hAnsi="Calibri" w:cs="Calibri"/>
                <w:color w:val="000000"/>
                <w:szCs w:val="22"/>
              </w:rPr>
              <w:t xml:space="preserve"> €</w:t>
            </w:r>
          </w:p>
        </w:tc>
        <w:tc>
          <w:tcPr>
            <w:tcW w:w="1118" w:type="dxa"/>
            <w:shd w:val="clear" w:color="auto" w:fill="C5E0B3"/>
            <w:noWrap/>
            <w:vAlign w:val="bottom"/>
            <w:hideMark/>
          </w:tcPr>
          <w:p w:rsidR="00B60FC2" w:rsidRPr="00B60FC2" w:rsidRDefault="00B60FC2" w:rsidP="00861E84">
            <w:pPr>
              <w:spacing w:before="0" w:after="0"/>
              <w:jc w:val="center"/>
              <w:rPr>
                <w:rFonts w:ascii="Calibri" w:hAnsi="Calibri" w:cs="Calibri"/>
                <w:color w:val="000000"/>
                <w:szCs w:val="22"/>
              </w:rPr>
            </w:pPr>
            <w:r w:rsidRPr="00B60FC2">
              <w:rPr>
                <w:rFonts w:ascii="Calibri" w:hAnsi="Calibri" w:cs="Calibri"/>
                <w:color w:val="000000"/>
                <w:szCs w:val="22"/>
              </w:rPr>
              <w:t>551698</w:t>
            </w:r>
            <w:r w:rsidR="004D050D">
              <w:rPr>
                <w:rFonts w:ascii="Calibri" w:hAnsi="Calibri" w:cs="Calibri"/>
                <w:color w:val="000000"/>
                <w:szCs w:val="22"/>
              </w:rPr>
              <w:t xml:space="preserve"> €</w:t>
            </w:r>
          </w:p>
        </w:tc>
        <w:tc>
          <w:tcPr>
            <w:tcW w:w="1292" w:type="dxa"/>
            <w:shd w:val="clear" w:color="auto" w:fill="C5E0B3"/>
            <w:noWrap/>
            <w:vAlign w:val="bottom"/>
            <w:hideMark/>
          </w:tcPr>
          <w:p w:rsidR="00B60FC2" w:rsidRPr="00B60FC2" w:rsidRDefault="00B60FC2" w:rsidP="00861E84">
            <w:pPr>
              <w:spacing w:before="0" w:after="0"/>
              <w:jc w:val="center"/>
              <w:rPr>
                <w:rFonts w:ascii="Calibri" w:hAnsi="Calibri" w:cs="Calibri"/>
                <w:color w:val="000000"/>
                <w:szCs w:val="22"/>
              </w:rPr>
            </w:pPr>
            <w:r w:rsidRPr="00B60FC2">
              <w:rPr>
                <w:rFonts w:ascii="Calibri" w:hAnsi="Calibri" w:cs="Calibri"/>
                <w:color w:val="000000"/>
                <w:szCs w:val="22"/>
              </w:rPr>
              <w:t>569851,09</w:t>
            </w:r>
            <w:r w:rsidR="004D050D">
              <w:rPr>
                <w:rFonts w:ascii="Calibri" w:hAnsi="Calibri" w:cs="Calibri"/>
                <w:color w:val="000000"/>
                <w:szCs w:val="22"/>
              </w:rPr>
              <w:t xml:space="preserve"> €</w:t>
            </w:r>
          </w:p>
        </w:tc>
      </w:tr>
    </w:tbl>
    <w:p w:rsidR="00B60FC2" w:rsidRPr="003E1B2A" w:rsidRDefault="00B60FC2" w:rsidP="00B60FC2">
      <w:pPr>
        <w:spacing w:before="0" w:after="0" w:line="276" w:lineRule="auto"/>
      </w:pPr>
    </w:p>
    <w:tbl>
      <w:tblPr>
        <w:tblW w:w="3894" w:type="dxa"/>
        <w:tblInd w:w="70" w:type="dxa"/>
        <w:tblCellMar>
          <w:left w:w="70" w:type="dxa"/>
          <w:right w:w="70" w:type="dxa"/>
        </w:tblCellMar>
        <w:tblLook w:val="04A0" w:firstRow="1" w:lastRow="0" w:firstColumn="1" w:lastColumn="0" w:noHBand="0" w:noVBand="1"/>
      </w:tblPr>
      <w:tblGrid>
        <w:gridCol w:w="1200"/>
        <w:gridCol w:w="1300"/>
        <w:gridCol w:w="1394"/>
      </w:tblGrid>
      <w:tr w:rsidR="00B60FC2" w:rsidRPr="00B60FC2" w:rsidTr="004D050D">
        <w:trPr>
          <w:trHeight w:val="315"/>
        </w:trPr>
        <w:tc>
          <w:tcPr>
            <w:tcW w:w="1200" w:type="dxa"/>
            <w:tcBorders>
              <w:top w:val="single" w:sz="4" w:space="0" w:color="auto"/>
              <w:left w:val="single" w:sz="4" w:space="0" w:color="auto"/>
              <w:bottom w:val="single" w:sz="4" w:space="0" w:color="auto"/>
            </w:tcBorders>
            <w:shd w:val="clear" w:color="auto" w:fill="auto"/>
            <w:noWrap/>
            <w:vAlign w:val="bottom"/>
          </w:tcPr>
          <w:p w:rsidR="00B60FC2" w:rsidRPr="00B60FC2" w:rsidRDefault="00B60FC2" w:rsidP="00B60FC2">
            <w:pPr>
              <w:spacing w:before="0" w:after="0"/>
              <w:jc w:val="center"/>
              <w:rPr>
                <w:rFonts w:ascii="Calibri" w:hAnsi="Calibri" w:cs="Calibri"/>
                <w:color w:val="000000"/>
                <w:szCs w:val="22"/>
              </w:rPr>
            </w:pPr>
          </w:p>
        </w:tc>
        <w:tc>
          <w:tcPr>
            <w:tcW w:w="1300" w:type="dxa"/>
            <w:tcBorders>
              <w:top w:val="single" w:sz="4" w:space="0" w:color="auto"/>
              <w:bottom w:val="single" w:sz="4" w:space="0" w:color="auto"/>
            </w:tcBorders>
            <w:shd w:val="clear" w:color="auto" w:fill="auto"/>
            <w:noWrap/>
            <w:vAlign w:val="bottom"/>
          </w:tcPr>
          <w:p w:rsidR="00B60FC2" w:rsidRPr="00CA1A55" w:rsidRDefault="00B60FC2" w:rsidP="00B60FC2">
            <w:pPr>
              <w:spacing w:before="0" w:after="0"/>
              <w:jc w:val="center"/>
              <w:rPr>
                <w:rFonts w:ascii="Calibri" w:hAnsi="Calibri" w:cs="Calibri"/>
                <w:b/>
                <w:color w:val="000000"/>
                <w:szCs w:val="22"/>
              </w:rPr>
            </w:pPr>
            <w:r w:rsidRPr="00CA1A55">
              <w:rPr>
                <w:rFonts w:ascii="Calibri" w:hAnsi="Calibri" w:cs="Calibri"/>
                <w:b/>
                <w:color w:val="000000"/>
                <w:szCs w:val="22"/>
              </w:rPr>
              <w:t>Océan/Oasis</w:t>
            </w:r>
          </w:p>
        </w:tc>
        <w:tc>
          <w:tcPr>
            <w:tcW w:w="1394" w:type="dxa"/>
            <w:tcBorders>
              <w:top w:val="single" w:sz="4" w:space="0" w:color="auto"/>
              <w:bottom w:val="single" w:sz="4" w:space="0" w:color="auto"/>
              <w:right w:val="single" w:sz="4" w:space="0" w:color="auto"/>
            </w:tcBorders>
            <w:shd w:val="clear" w:color="auto" w:fill="auto"/>
            <w:noWrap/>
            <w:vAlign w:val="bottom"/>
          </w:tcPr>
          <w:p w:rsidR="00B60FC2" w:rsidRPr="00CA1A55" w:rsidRDefault="00B60FC2" w:rsidP="00B60FC2">
            <w:pPr>
              <w:spacing w:before="0" w:after="0"/>
              <w:jc w:val="center"/>
              <w:rPr>
                <w:rFonts w:ascii="Calibri" w:hAnsi="Calibri" w:cs="Calibri"/>
                <w:b/>
                <w:color w:val="000000"/>
                <w:szCs w:val="22"/>
              </w:rPr>
            </w:pPr>
          </w:p>
        </w:tc>
      </w:tr>
      <w:tr w:rsidR="00B60FC2" w:rsidRPr="00B60FC2" w:rsidTr="004D050D">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B60FC2" w:rsidRPr="00B60FC2" w:rsidTr="004D050D">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662576,2</w:t>
            </w:r>
            <w:r w:rsidR="004D050D">
              <w:rPr>
                <w:rFonts w:ascii="Calibri" w:hAnsi="Calibri" w:cs="Calibri"/>
                <w:color w:val="000000"/>
                <w:szCs w:val="22"/>
              </w:rPr>
              <w:t xml:space="preserve"> €</w:t>
            </w:r>
          </w:p>
        </w:tc>
        <w:tc>
          <w:tcPr>
            <w:tcW w:w="1300"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691466,4</w:t>
            </w:r>
            <w:r w:rsidR="004D050D">
              <w:rPr>
                <w:rFonts w:ascii="Calibri" w:hAnsi="Calibri" w:cs="Calibri"/>
                <w:color w:val="000000"/>
                <w:szCs w:val="22"/>
              </w:rPr>
              <w:t xml:space="preserve"> €</w:t>
            </w:r>
          </w:p>
        </w:tc>
        <w:tc>
          <w:tcPr>
            <w:tcW w:w="1394" w:type="dxa"/>
            <w:tcBorders>
              <w:top w:val="single" w:sz="4" w:space="0" w:color="auto"/>
              <w:left w:val="single" w:sz="4" w:space="0" w:color="auto"/>
              <w:bottom w:val="single" w:sz="8" w:space="0" w:color="auto"/>
              <w:right w:val="single" w:sz="8" w:space="0" w:color="auto"/>
            </w:tcBorders>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735949,49</w:t>
            </w:r>
            <w:r w:rsidR="004D050D">
              <w:rPr>
                <w:rFonts w:ascii="Calibri" w:hAnsi="Calibri" w:cs="Calibri"/>
                <w:color w:val="000000"/>
                <w:szCs w:val="22"/>
              </w:rPr>
              <w:t xml:space="preserve"> €</w:t>
            </w:r>
          </w:p>
        </w:tc>
      </w:tr>
    </w:tbl>
    <w:p w:rsidR="0044498A" w:rsidRDefault="0044498A" w:rsidP="0044498A">
      <w:pPr>
        <w:rPr>
          <w:b/>
        </w:rPr>
      </w:pPr>
    </w:p>
    <w:p w:rsidR="00B60FC2" w:rsidRDefault="00B60FC2" w:rsidP="00B60FC2">
      <w:pPr>
        <w:numPr>
          <w:ilvl w:val="0"/>
          <w:numId w:val="18"/>
        </w:numPr>
      </w:pPr>
      <w:r w:rsidRPr="00B60FC2">
        <w:t>Consommations des 3 dernières saison de chauffe</w:t>
      </w:r>
      <w:r w:rsidR="002E2C7C">
        <w:t xml:space="preserve"> en </w:t>
      </w:r>
      <w:proofErr w:type="spellStart"/>
      <w:r w:rsidR="002E2C7C">
        <w:t>MWh</w:t>
      </w:r>
      <w:proofErr w:type="spellEnd"/>
      <w:r w:rsidR="002E2C7C">
        <w:t> :</w:t>
      </w:r>
    </w:p>
    <w:p w:rsidR="00B60FC2" w:rsidRDefault="00B60FC2" w:rsidP="00B60FC2"/>
    <w:tbl>
      <w:tblPr>
        <w:tblW w:w="3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0"/>
        <w:gridCol w:w="1200"/>
        <w:gridCol w:w="1200"/>
      </w:tblGrid>
      <w:tr w:rsidR="00B60FC2" w:rsidRPr="00B60FC2" w:rsidTr="00E01000">
        <w:trPr>
          <w:trHeight w:val="315"/>
        </w:trPr>
        <w:tc>
          <w:tcPr>
            <w:tcW w:w="1420" w:type="dxa"/>
            <w:tcBorders>
              <w:right w:val="nil"/>
            </w:tcBorders>
            <w:shd w:val="clear" w:color="auto" w:fill="auto"/>
            <w:noWrap/>
            <w:vAlign w:val="bottom"/>
          </w:tcPr>
          <w:p w:rsidR="00B60FC2" w:rsidRPr="00B60FC2" w:rsidRDefault="00B60FC2" w:rsidP="00B60FC2">
            <w:pPr>
              <w:spacing w:before="0" w:after="0"/>
              <w:jc w:val="center"/>
              <w:rPr>
                <w:rFonts w:ascii="Calibri" w:hAnsi="Calibri" w:cs="Calibri"/>
                <w:color w:val="000000"/>
                <w:szCs w:val="22"/>
              </w:rPr>
            </w:pPr>
          </w:p>
        </w:tc>
        <w:tc>
          <w:tcPr>
            <w:tcW w:w="1200" w:type="dxa"/>
            <w:tcBorders>
              <w:left w:val="nil"/>
              <w:right w:val="nil"/>
            </w:tcBorders>
            <w:shd w:val="clear" w:color="auto" w:fill="auto"/>
            <w:noWrap/>
            <w:vAlign w:val="bottom"/>
          </w:tcPr>
          <w:p w:rsidR="00B60FC2" w:rsidRPr="00CA1A55" w:rsidRDefault="00B60FC2" w:rsidP="00B60FC2">
            <w:pPr>
              <w:spacing w:before="0" w:after="0"/>
              <w:jc w:val="center"/>
              <w:rPr>
                <w:rFonts w:ascii="Calibri" w:hAnsi="Calibri" w:cs="Calibri"/>
                <w:b/>
                <w:color w:val="000000"/>
                <w:szCs w:val="22"/>
              </w:rPr>
            </w:pPr>
            <w:r w:rsidRPr="00CA1A55">
              <w:rPr>
                <w:rFonts w:ascii="Calibri" w:hAnsi="Calibri" w:cs="Calibri"/>
                <w:b/>
                <w:color w:val="000000"/>
                <w:szCs w:val="22"/>
              </w:rPr>
              <w:t>CMV</w:t>
            </w:r>
          </w:p>
        </w:tc>
        <w:tc>
          <w:tcPr>
            <w:tcW w:w="1200" w:type="dxa"/>
            <w:tcBorders>
              <w:left w:val="nil"/>
            </w:tcBorders>
            <w:shd w:val="clear" w:color="auto" w:fill="auto"/>
            <w:noWrap/>
            <w:vAlign w:val="bottom"/>
          </w:tcPr>
          <w:p w:rsidR="00B60FC2" w:rsidRPr="00B60FC2" w:rsidRDefault="00B60FC2" w:rsidP="00B60FC2">
            <w:pPr>
              <w:spacing w:before="0" w:after="0"/>
              <w:jc w:val="center"/>
              <w:rPr>
                <w:rFonts w:ascii="Calibri" w:hAnsi="Calibri" w:cs="Calibri"/>
                <w:color w:val="000000"/>
                <w:szCs w:val="22"/>
              </w:rPr>
            </w:pPr>
          </w:p>
        </w:tc>
      </w:tr>
      <w:tr w:rsidR="00B60FC2" w:rsidRPr="00B60FC2" w:rsidTr="00B60FC2">
        <w:trPr>
          <w:trHeight w:val="315"/>
        </w:trPr>
        <w:tc>
          <w:tcPr>
            <w:tcW w:w="142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20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B60FC2" w:rsidRPr="00B60FC2" w:rsidTr="008A1E01">
        <w:trPr>
          <w:trHeight w:val="315"/>
        </w:trPr>
        <w:tc>
          <w:tcPr>
            <w:tcW w:w="1420" w:type="dxa"/>
            <w:shd w:val="clear" w:color="auto" w:fill="C5E0B3"/>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5184,92</w:t>
            </w:r>
          </w:p>
        </w:tc>
        <w:tc>
          <w:tcPr>
            <w:tcW w:w="1200" w:type="dxa"/>
            <w:shd w:val="clear" w:color="auto" w:fill="C5E0B3"/>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4252,95</w:t>
            </w:r>
          </w:p>
        </w:tc>
        <w:tc>
          <w:tcPr>
            <w:tcW w:w="1200" w:type="dxa"/>
            <w:shd w:val="clear" w:color="auto" w:fill="C5E0B3"/>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3398,01</w:t>
            </w:r>
          </w:p>
        </w:tc>
      </w:tr>
    </w:tbl>
    <w:p w:rsidR="00B60FC2" w:rsidRDefault="00B60FC2" w:rsidP="00B60FC2"/>
    <w:tbl>
      <w:tblPr>
        <w:tblW w:w="3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300"/>
        <w:gridCol w:w="1200"/>
      </w:tblGrid>
      <w:tr w:rsidR="00B60FC2" w:rsidRPr="00B60FC2" w:rsidTr="00E01000">
        <w:trPr>
          <w:trHeight w:val="315"/>
        </w:trPr>
        <w:tc>
          <w:tcPr>
            <w:tcW w:w="1200" w:type="dxa"/>
            <w:tcBorders>
              <w:right w:val="nil"/>
            </w:tcBorders>
            <w:shd w:val="clear" w:color="auto" w:fill="auto"/>
            <w:noWrap/>
            <w:vAlign w:val="bottom"/>
          </w:tcPr>
          <w:p w:rsidR="00B60FC2" w:rsidRPr="00B60FC2" w:rsidRDefault="00B60FC2" w:rsidP="00B60FC2">
            <w:pPr>
              <w:spacing w:before="0" w:after="0"/>
              <w:jc w:val="center"/>
              <w:rPr>
                <w:rFonts w:ascii="Calibri" w:hAnsi="Calibri" w:cs="Calibri"/>
                <w:color w:val="000000"/>
                <w:szCs w:val="22"/>
              </w:rPr>
            </w:pPr>
          </w:p>
        </w:tc>
        <w:tc>
          <w:tcPr>
            <w:tcW w:w="1200" w:type="dxa"/>
            <w:tcBorders>
              <w:left w:val="nil"/>
              <w:right w:val="nil"/>
            </w:tcBorders>
            <w:shd w:val="clear" w:color="auto" w:fill="auto"/>
            <w:noWrap/>
            <w:vAlign w:val="bottom"/>
          </w:tcPr>
          <w:p w:rsidR="00B60FC2" w:rsidRPr="00CA1A55" w:rsidRDefault="00B60FC2" w:rsidP="00B60FC2">
            <w:pPr>
              <w:spacing w:before="0" w:after="0"/>
              <w:jc w:val="center"/>
              <w:rPr>
                <w:rFonts w:ascii="Calibri" w:hAnsi="Calibri" w:cs="Calibri"/>
                <w:b/>
                <w:color w:val="000000"/>
                <w:szCs w:val="22"/>
              </w:rPr>
            </w:pPr>
            <w:r w:rsidRPr="00CA1A55">
              <w:rPr>
                <w:rFonts w:ascii="Calibri" w:hAnsi="Calibri" w:cs="Calibri"/>
                <w:b/>
                <w:color w:val="000000"/>
                <w:szCs w:val="22"/>
              </w:rPr>
              <w:t>Océan/Oasis</w:t>
            </w:r>
          </w:p>
        </w:tc>
        <w:tc>
          <w:tcPr>
            <w:tcW w:w="1200" w:type="dxa"/>
            <w:tcBorders>
              <w:left w:val="nil"/>
            </w:tcBorders>
            <w:shd w:val="clear" w:color="auto" w:fill="auto"/>
            <w:noWrap/>
            <w:vAlign w:val="bottom"/>
          </w:tcPr>
          <w:p w:rsidR="00B60FC2" w:rsidRPr="00B60FC2" w:rsidRDefault="00B60FC2" w:rsidP="00B60FC2">
            <w:pPr>
              <w:spacing w:before="0" w:after="0"/>
              <w:jc w:val="center"/>
              <w:rPr>
                <w:rFonts w:ascii="Calibri" w:hAnsi="Calibri" w:cs="Calibri"/>
                <w:color w:val="000000"/>
                <w:szCs w:val="22"/>
              </w:rPr>
            </w:pPr>
          </w:p>
        </w:tc>
      </w:tr>
      <w:tr w:rsidR="00B60FC2" w:rsidRPr="00B60FC2" w:rsidTr="00B60FC2">
        <w:trPr>
          <w:trHeight w:val="315"/>
        </w:trPr>
        <w:tc>
          <w:tcPr>
            <w:tcW w:w="120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2022/2023</w:t>
            </w:r>
          </w:p>
        </w:tc>
        <w:tc>
          <w:tcPr>
            <w:tcW w:w="120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2023/2024</w:t>
            </w:r>
          </w:p>
        </w:tc>
        <w:tc>
          <w:tcPr>
            <w:tcW w:w="1200" w:type="dxa"/>
            <w:shd w:val="clear" w:color="auto" w:fill="auto"/>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2024/2025</w:t>
            </w:r>
          </w:p>
        </w:tc>
      </w:tr>
      <w:tr w:rsidR="00B60FC2" w:rsidRPr="00B60FC2" w:rsidTr="00B60FC2">
        <w:trPr>
          <w:trHeight w:val="315"/>
        </w:trPr>
        <w:tc>
          <w:tcPr>
            <w:tcW w:w="1200" w:type="dxa"/>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5437,9</w:t>
            </w:r>
          </w:p>
        </w:tc>
        <w:tc>
          <w:tcPr>
            <w:tcW w:w="1200" w:type="dxa"/>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5202,8</w:t>
            </w:r>
          </w:p>
        </w:tc>
        <w:tc>
          <w:tcPr>
            <w:tcW w:w="1200" w:type="dxa"/>
            <w:shd w:val="clear" w:color="000000" w:fill="C6E0B4"/>
            <w:noWrap/>
            <w:vAlign w:val="bottom"/>
            <w:hideMark/>
          </w:tcPr>
          <w:p w:rsidR="00B60FC2" w:rsidRPr="00B60FC2" w:rsidRDefault="00B60FC2" w:rsidP="00B60FC2">
            <w:pPr>
              <w:spacing w:before="0" w:after="0"/>
              <w:jc w:val="center"/>
              <w:rPr>
                <w:rFonts w:ascii="Calibri" w:hAnsi="Calibri" w:cs="Calibri"/>
                <w:color w:val="000000"/>
                <w:szCs w:val="22"/>
              </w:rPr>
            </w:pPr>
            <w:r w:rsidRPr="00B60FC2">
              <w:rPr>
                <w:rFonts w:ascii="Calibri" w:hAnsi="Calibri" w:cs="Calibri"/>
                <w:color w:val="000000"/>
                <w:szCs w:val="22"/>
              </w:rPr>
              <w:t>4774,6</w:t>
            </w:r>
          </w:p>
        </w:tc>
      </w:tr>
    </w:tbl>
    <w:p w:rsidR="00B60FC2" w:rsidRPr="00B60FC2" w:rsidRDefault="00B60FC2" w:rsidP="00B60FC2"/>
    <w:p w:rsidR="0044498A" w:rsidRPr="005F5A3C" w:rsidRDefault="0044498A" w:rsidP="0044498A">
      <w:pPr>
        <w:pStyle w:val="Titre1"/>
        <w:numPr>
          <w:ilvl w:val="0"/>
          <w:numId w:val="0"/>
        </w:numPr>
        <w:rPr>
          <w:b w:val="0"/>
        </w:rPr>
      </w:pPr>
      <w:r w:rsidRPr="005F5A3C">
        <w:lastRenderedPageBreak/>
        <w:t>Consommation d’ECS sur la saison de chauffe</w:t>
      </w:r>
    </w:p>
    <w:p w:rsidR="0044498A" w:rsidRDefault="0044498A" w:rsidP="0044498A">
      <w:pPr>
        <w:spacing w:after="240"/>
      </w:pPr>
      <w:r>
        <w:t xml:space="preserve">La consommation ECS est estimée à environ </w:t>
      </w:r>
      <w:r w:rsidRPr="00B03F42">
        <w:rPr>
          <w:b/>
        </w:rPr>
        <w:t xml:space="preserve">228 </w:t>
      </w:r>
      <w:proofErr w:type="spellStart"/>
      <w:r w:rsidRPr="00B03F42">
        <w:rPr>
          <w:b/>
        </w:rPr>
        <w:t>MWh</w:t>
      </w:r>
      <w:proofErr w:type="spellEnd"/>
      <w:r>
        <w:t xml:space="preserve"> sur la saison de chauffe</w:t>
      </w:r>
      <w:r w:rsidR="002E2C7C">
        <w:t xml:space="preserve"> pour la sous-station Océan/Oasis</w:t>
      </w:r>
      <w:r>
        <w:t>.</w:t>
      </w:r>
    </w:p>
    <w:p w:rsidR="004D050D" w:rsidRDefault="002E2C7C" w:rsidP="004D050D">
      <w:pPr>
        <w:spacing w:after="240"/>
      </w:pPr>
      <w:r>
        <w:t xml:space="preserve">La consommation ECS est estimé à environ sur la saison de chauffe pour la sous-station Giffard </w:t>
      </w:r>
      <w:r w:rsidRPr="00B03F42">
        <w:rPr>
          <w:b/>
        </w:rPr>
        <w:t xml:space="preserve">252 </w:t>
      </w:r>
      <w:proofErr w:type="spellStart"/>
      <w:r w:rsidRPr="00B03F42">
        <w:rPr>
          <w:b/>
        </w:rPr>
        <w:t>MWh</w:t>
      </w:r>
      <w:proofErr w:type="spellEnd"/>
      <w:r w:rsidR="004D050D">
        <w:t xml:space="preserve">. </w:t>
      </w:r>
    </w:p>
    <w:p w:rsidR="0044498A" w:rsidRPr="004D050D" w:rsidRDefault="0044498A" w:rsidP="004D050D">
      <w:pPr>
        <w:spacing w:after="240"/>
        <w:rPr>
          <w:b/>
        </w:rPr>
      </w:pPr>
      <w:r w:rsidRPr="004D050D">
        <w:rPr>
          <w:b/>
        </w:rPr>
        <w:t xml:space="preserve">Consommations et factures GAZ annuelles </w:t>
      </w:r>
    </w:p>
    <w:tbl>
      <w:tblPr>
        <w:tblW w:w="2820" w:type="dxa"/>
        <w:jc w:val="center"/>
        <w:tblCellMar>
          <w:left w:w="70" w:type="dxa"/>
          <w:right w:w="70" w:type="dxa"/>
        </w:tblCellMar>
        <w:tblLook w:val="04A0" w:firstRow="1" w:lastRow="0" w:firstColumn="1" w:lastColumn="0" w:noHBand="0" w:noVBand="1"/>
      </w:tblPr>
      <w:tblGrid>
        <w:gridCol w:w="1200"/>
        <w:gridCol w:w="1620"/>
      </w:tblGrid>
      <w:tr w:rsidR="00D61201" w:rsidRPr="004F2801" w:rsidTr="00D61201">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1201" w:rsidRPr="0038610A" w:rsidRDefault="00D61201" w:rsidP="00AE7381">
            <w:pPr>
              <w:jc w:val="center"/>
            </w:pPr>
            <w:r w:rsidRPr="0038610A">
              <w:t>Année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D61201" w:rsidRPr="0038610A" w:rsidRDefault="00D61201" w:rsidP="00AE7381">
            <w:pPr>
              <w:jc w:val="center"/>
            </w:pPr>
            <w:r w:rsidRPr="0038610A">
              <w:t xml:space="preserve">Consommation en </w:t>
            </w:r>
            <w:proofErr w:type="spellStart"/>
            <w:r w:rsidRPr="0038610A">
              <w:t>MWhPCI</w:t>
            </w:r>
            <w:proofErr w:type="spellEnd"/>
          </w:p>
        </w:tc>
      </w:tr>
      <w:tr w:rsidR="00D61201" w:rsidRPr="004F2801" w:rsidTr="00D6120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61201" w:rsidRPr="0038610A" w:rsidRDefault="00D61201" w:rsidP="00AE7381">
            <w:pPr>
              <w:jc w:val="center"/>
            </w:pPr>
            <w:r w:rsidRPr="0038610A">
              <w:t>2022</w:t>
            </w:r>
          </w:p>
        </w:tc>
        <w:tc>
          <w:tcPr>
            <w:tcW w:w="1620" w:type="dxa"/>
            <w:tcBorders>
              <w:top w:val="nil"/>
              <w:left w:val="nil"/>
              <w:bottom w:val="single" w:sz="4" w:space="0" w:color="auto"/>
              <w:right w:val="single" w:sz="4" w:space="0" w:color="auto"/>
            </w:tcBorders>
            <w:shd w:val="clear" w:color="auto" w:fill="auto"/>
            <w:noWrap/>
            <w:vAlign w:val="center"/>
            <w:hideMark/>
          </w:tcPr>
          <w:p w:rsidR="00D61201" w:rsidRPr="0038610A" w:rsidRDefault="00D61201" w:rsidP="009B5F89">
            <w:pPr>
              <w:ind w:right="113"/>
              <w:jc w:val="center"/>
            </w:pPr>
            <w:r w:rsidRPr="0038610A">
              <w:t>9.2</w:t>
            </w:r>
          </w:p>
        </w:tc>
      </w:tr>
      <w:tr w:rsidR="00D61201" w:rsidRPr="004F2801" w:rsidTr="00D6120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61201" w:rsidRPr="0038610A" w:rsidRDefault="00D61201" w:rsidP="00AE7381">
            <w:pPr>
              <w:jc w:val="center"/>
            </w:pPr>
            <w:r w:rsidRPr="0038610A">
              <w:t>2023</w:t>
            </w:r>
          </w:p>
        </w:tc>
        <w:tc>
          <w:tcPr>
            <w:tcW w:w="1620" w:type="dxa"/>
            <w:tcBorders>
              <w:top w:val="nil"/>
              <w:left w:val="nil"/>
              <w:bottom w:val="single" w:sz="4" w:space="0" w:color="auto"/>
              <w:right w:val="single" w:sz="4" w:space="0" w:color="auto"/>
            </w:tcBorders>
            <w:shd w:val="clear" w:color="auto" w:fill="auto"/>
            <w:noWrap/>
            <w:vAlign w:val="center"/>
            <w:hideMark/>
          </w:tcPr>
          <w:p w:rsidR="00D61201" w:rsidRPr="0038610A" w:rsidRDefault="00D61201" w:rsidP="009B5F89">
            <w:pPr>
              <w:ind w:right="113"/>
              <w:jc w:val="center"/>
            </w:pPr>
            <w:r w:rsidRPr="0038610A">
              <w:t>5.8</w:t>
            </w:r>
          </w:p>
        </w:tc>
      </w:tr>
      <w:tr w:rsidR="00D61201" w:rsidRPr="004F2801" w:rsidTr="00D6120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61201" w:rsidRPr="0038610A" w:rsidRDefault="00D61201" w:rsidP="00AE7381">
            <w:pPr>
              <w:jc w:val="center"/>
            </w:pPr>
            <w:r w:rsidRPr="0038610A">
              <w:t>2024</w:t>
            </w:r>
          </w:p>
        </w:tc>
        <w:tc>
          <w:tcPr>
            <w:tcW w:w="1620" w:type="dxa"/>
            <w:tcBorders>
              <w:top w:val="nil"/>
              <w:left w:val="nil"/>
              <w:bottom w:val="single" w:sz="4" w:space="0" w:color="auto"/>
              <w:right w:val="single" w:sz="4" w:space="0" w:color="auto"/>
            </w:tcBorders>
            <w:shd w:val="clear" w:color="auto" w:fill="auto"/>
            <w:noWrap/>
            <w:vAlign w:val="center"/>
            <w:hideMark/>
          </w:tcPr>
          <w:p w:rsidR="00D61201" w:rsidRPr="0038610A" w:rsidRDefault="00D61201" w:rsidP="00290810">
            <w:pPr>
              <w:ind w:right="113"/>
              <w:jc w:val="center"/>
            </w:pPr>
            <w:r w:rsidRPr="0038610A">
              <w:t>5.7</w:t>
            </w:r>
          </w:p>
        </w:tc>
      </w:tr>
    </w:tbl>
    <w:p w:rsidR="0044498A" w:rsidRDefault="0044498A" w:rsidP="0044498A"/>
    <w:p w:rsidR="0044498A" w:rsidRDefault="0044498A" w:rsidP="0044498A">
      <w:pPr>
        <w:pStyle w:val="Titre1"/>
        <w:numPr>
          <w:ilvl w:val="0"/>
          <w:numId w:val="0"/>
        </w:numPr>
      </w:pPr>
      <w:r>
        <w:t>Estimation de la consommation de référence</w:t>
      </w:r>
    </w:p>
    <w:p w:rsidR="00E26F95" w:rsidRPr="00E26F95" w:rsidRDefault="00E26F95" w:rsidP="00E26F95">
      <w:pPr>
        <w:rPr>
          <w:u w:val="single"/>
        </w:rPr>
      </w:pPr>
    </w:p>
    <w:p w:rsidR="0044498A" w:rsidRPr="000C576C" w:rsidRDefault="0044498A" w:rsidP="0044498A">
      <w:pPr>
        <w:pStyle w:val="Paragraphedeliste"/>
        <w:numPr>
          <w:ilvl w:val="0"/>
          <w:numId w:val="16"/>
        </w:numPr>
        <w:rPr>
          <w:rFonts w:ascii="Times New Roman" w:hAnsi="Times New Roman"/>
        </w:rPr>
      </w:pPr>
      <w:r w:rsidRPr="000C576C">
        <w:rPr>
          <w:rFonts w:ascii="Times New Roman" w:hAnsi="Times New Roman"/>
        </w:rPr>
        <w:t>Station météo : BREST GUIPAVAS</w:t>
      </w:r>
    </w:p>
    <w:p w:rsidR="0044498A" w:rsidRDefault="0044498A" w:rsidP="0044498A">
      <w:pPr>
        <w:pStyle w:val="Paragraphedeliste"/>
        <w:numPr>
          <w:ilvl w:val="0"/>
          <w:numId w:val="16"/>
        </w:numPr>
        <w:spacing w:after="120"/>
        <w:ind w:left="714" w:hanging="357"/>
        <w:rPr>
          <w:rFonts w:ascii="Times New Roman" w:hAnsi="Times New Roman"/>
        </w:rPr>
      </w:pPr>
      <w:r w:rsidRPr="000C576C">
        <w:rPr>
          <w:rFonts w:ascii="Times New Roman" w:hAnsi="Times New Roman"/>
        </w:rPr>
        <w:t>Saison de chauffe : du 1</w:t>
      </w:r>
      <w:r w:rsidRPr="000C576C">
        <w:rPr>
          <w:rFonts w:ascii="Times New Roman" w:hAnsi="Times New Roman"/>
          <w:vertAlign w:val="superscript"/>
        </w:rPr>
        <w:t>er</w:t>
      </w:r>
      <w:r w:rsidRPr="000C576C">
        <w:rPr>
          <w:rFonts w:ascii="Times New Roman" w:hAnsi="Times New Roman"/>
        </w:rPr>
        <w:t xml:space="preserve"> Octobre au 1</w:t>
      </w:r>
      <w:r w:rsidRPr="000C576C">
        <w:rPr>
          <w:rFonts w:ascii="Times New Roman" w:hAnsi="Times New Roman"/>
          <w:vertAlign w:val="superscript"/>
        </w:rPr>
        <w:t>er</w:t>
      </w:r>
      <w:r w:rsidRPr="000C576C">
        <w:rPr>
          <w:rFonts w:ascii="Times New Roman" w:hAnsi="Times New Roman"/>
        </w:rPr>
        <w:t xml:space="preserve"> Juin</w:t>
      </w:r>
    </w:p>
    <w:p w:rsidR="0044498A" w:rsidRPr="005F5A3C" w:rsidRDefault="0044498A" w:rsidP="0044498A">
      <w:pPr>
        <w:pStyle w:val="Paragraphedeliste"/>
        <w:numPr>
          <w:ilvl w:val="0"/>
          <w:numId w:val="16"/>
        </w:numPr>
        <w:spacing w:after="120"/>
        <w:ind w:left="714" w:hanging="357"/>
        <w:rPr>
          <w:rFonts w:ascii="Times New Roman" w:hAnsi="Times New Roman"/>
        </w:rPr>
      </w:pPr>
      <w:proofErr w:type="spellStart"/>
      <w:r>
        <w:rPr>
          <w:rFonts w:ascii="Times New Roman" w:hAnsi="Times New Roman"/>
        </w:rPr>
        <w:t>DJU</w:t>
      </w:r>
      <w:r w:rsidRPr="005F5A3C">
        <w:rPr>
          <w:rFonts w:ascii="Times New Roman" w:hAnsi="Times New Roman"/>
          <w:vertAlign w:val="subscript"/>
        </w:rPr>
        <w:t>base</w:t>
      </w:r>
      <w:proofErr w:type="spellEnd"/>
      <w:r>
        <w:rPr>
          <w:rFonts w:ascii="Times New Roman" w:hAnsi="Times New Roman"/>
        </w:rPr>
        <w:t xml:space="preserve"> = </w:t>
      </w:r>
      <w:r w:rsidR="00E26F95">
        <w:rPr>
          <w:rFonts w:ascii="Times New Roman" w:hAnsi="Times New Roman"/>
          <w:b/>
        </w:rPr>
        <w:t>1880</w:t>
      </w:r>
    </w:p>
    <w:p w:rsidR="0044498A" w:rsidRDefault="0044498A" w:rsidP="0044498A">
      <w:pPr>
        <w:pStyle w:val="Paragraphedeliste"/>
        <w:numPr>
          <w:ilvl w:val="0"/>
          <w:numId w:val="16"/>
        </w:numPr>
        <w:spacing w:after="120"/>
        <w:ind w:left="714" w:hanging="357"/>
        <w:rPr>
          <w:rFonts w:ascii="Times New Roman" w:hAnsi="Times New Roman"/>
        </w:rPr>
      </w:pPr>
      <w:r>
        <w:rPr>
          <w:rFonts w:ascii="Times New Roman" w:hAnsi="Times New Roman"/>
        </w:rPr>
        <w:t>DJU</w:t>
      </w:r>
      <w:r w:rsidR="00E26F95">
        <w:rPr>
          <w:rFonts w:ascii="Times New Roman" w:hAnsi="Times New Roman"/>
          <w:vertAlign w:val="subscript"/>
        </w:rPr>
        <w:t>2022/2023</w:t>
      </w:r>
      <w:r w:rsidRPr="005F5A3C">
        <w:rPr>
          <w:rFonts w:ascii="Times New Roman" w:hAnsi="Times New Roman"/>
          <w:vertAlign w:val="subscript"/>
        </w:rPr>
        <w:t xml:space="preserve"> </w:t>
      </w:r>
      <w:r w:rsidR="001A3476">
        <w:rPr>
          <w:rFonts w:ascii="Times New Roman" w:hAnsi="Times New Roman"/>
        </w:rPr>
        <w:t>= 1904</w:t>
      </w:r>
    </w:p>
    <w:p w:rsidR="0044498A" w:rsidRDefault="0044498A" w:rsidP="0044498A">
      <w:pPr>
        <w:pStyle w:val="Paragraphedeliste"/>
        <w:numPr>
          <w:ilvl w:val="0"/>
          <w:numId w:val="16"/>
        </w:numPr>
        <w:spacing w:after="120"/>
        <w:ind w:left="714" w:hanging="357"/>
        <w:rPr>
          <w:rFonts w:ascii="Times New Roman" w:hAnsi="Times New Roman"/>
        </w:rPr>
      </w:pPr>
      <w:r>
        <w:rPr>
          <w:rFonts w:ascii="Times New Roman" w:hAnsi="Times New Roman"/>
        </w:rPr>
        <w:t>DJU</w:t>
      </w:r>
      <w:r w:rsidR="00E26F95">
        <w:rPr>
          <w:rFonts w:ascii="Times New Roman" w:hAnsi="Times New Roman"/>
          <w:vertAlign w:val="subscript"/>
        </w:rPr>
        <w:t>2023</w:t>
      </w:r>
      <w:r w:rsidRPr="005F5A3C">
        <w:rPr>
          <w:rFonts w:ascii="Times New Roman" w:hAnsi="Times New Roman"/>
          <w:vertAlign w:val="subscript"/>
        </w:rPr>
        <w:t>/20</w:t>
      </w:r>
      <w:r w:rsidR="00E26F95">
        <w:rPr>
          <w:rFonts w:ascii="Times New Roman" w:hAnsi="Times New Roman"/>
          <w:vertAlign w:val="subscript"/>
        </w:rPr>
        <w:t>24</w:t>
      </w:r>
      <w:r w:rsidRPr="005F5A3C">
        <w:rPr>
          <w:rFonts w:ascii="Times New Roman" w:hAnsi="Times New Roman"/>
          <w:vertAlign w:val="subscript"/>
        </w:rPr>
        <w:t xml:space="preserve"> </w:t>
      </w:r>
      <w:r w:rsidR="00E26F95">
        <w:rPr>
          <w:rFonts w:ascii="Times New Roman" w:hAnsi="Times New Roman"/>
        </w:rPr>
        <w:t>= 1827</w:t>
      </w:r>
    </w:p>
    <w:p w:rsidR="0044498A" w:rsidRDefault="0044498A" w:rsidP="0044498A">
      <w:pPr>
        <w:pStyle w:val="Paragraphedeliste"/>
        <w:numPr>
          <w:ilvl w:val="0"/>
          <w:numId w:val="16"/>
        </w:numPr>
        <w:spacing w:after="120"/>
        <w:ind w:left="714" w:hanging="357"/>
        <w:rPr>
          <w:rFonts w:ascii="Times New Roman" w:hAnsi="Times New Roman"/>
        </w:rPr>
      </w:pPr>
      <w:r>
        <w:rPr>
          <w:rFonts w:ascii="Times New Roman" w:hAnsi="Times New Roman"/>
        </w:rPr>
        <w:t>DJU</w:t>
      </w:r>
      <w:r w:rsidR="00E26F95">
        <w:rPr>
          <w:rFonts w:ascii="Times New Roman" w:hAnsi="Times New Roman"/>
          <w:vertAlign w:val="subscript"/>
        </w:rPr>
        <w:t>2024</w:t>
      </w:r>
      <w:r w:rsidRPr="005F5A3C">
        <w:rPr>
          <w:rFonts w:ascii="Times New Roman" w:hAnsi="Times New Roman"/>
          <w:vertAlign w:val="subscript"/>
        </w:rPr>
        <w:t>/202</w:t>
      </w:r>
      <w:r w:rsidR="00E26F95">
        <w:rPr>
          <w:rFonts w:ascii="Times New Roman" w:hAnsi="Times New Roman"/>
          <w:vertAlign w:val="subscript"/>
        </w:rPr>
        <w:t>5</w:t>
      </w:r>
      <w:r w:rsidRPr="005F5A3C">
        <w:rPr>
          <w:rFonts w:ascii="Times New Roman" w:hAnsi="Times New Roman"/>
          <w:vertAlign w:val="subscript"/>
        </w:rPr>
        <w:t xml:space="preserve"> </w:t>
      </w:r>
      <w:r w:rsidR="00E26F95">
        <w:rPr>
          <w:rFonts w:ascii="Times New Roman" w:hAnsi="Times New Roman"/>
        </w:rPr>
        <w:t>= 1911</w:t>
      </w:r>
    </w:p>
    <w:p w:rsidR="0044498A" w:rsidRDefault="0044498A" w:rsidP="0044498A">
      <w:pPr>
        <w:pStyle w:val="Paragraphedeliste"/>
        <w:numPr>
          <w:ilvl w:val="0"/>
          <w:numId w:val="16"/>
        </w:numPr>
        <w:spacing w:after="120"/>
        <w:ind w:left="714" w:hanging="357"/>
        <w:rPr>
          <w:rFonts w:ascii="Times New Roman" w:hAnsi="Times New Roman"/>
        </w:rPr>
      </w:pPr>
      <w:r>
        <w:rPr>
          <w:rFonts w:ascii="Times New Roman" w:hAnsi="Times New Roman"/>
        </w:rPr>
        <w:t>Consommation ECS sur la saison de chauffe : C</w:t>
      </w:r>
      <w:r w:rsidRPr="005F5A3C">
        <w:rPr>
          <w:rFonts w:ascii="Times New Roman" w:hAnsi="Times New Roman"/>
          <w:vertAlign w:val="subscript"/>
        </w:rPr>
        <w:t>ECS</w:t>
      </w:r>
      <w:r>
        <w:rPr>
          <w:rFonts w:ascii="Times New Roman" w:hAnsi="Times New Roman"/>
        </w:rPr>
        <w:t xml:space="preserve">= </w:t>
      </w:r>
      <w:r w:rsidRPr="00DC6891">
        <w:rPr>
          <w:rFonts w:ascii="Times New Roman" w:hAnsi="Times New Roman"/>
          <w:b/>
        </w:rPr>
        <w:t xml:space="preserve">228 </w:t>
      </w:r>
      <w:proofErr w:type="spellStart"/>
      <w:r w:rsidRPr="00DC6891">
        <w:rPr>
          <w:rFonts w:ascii="Times New Roman" w:hAnsi="Times New Roman"/>
          <w:b/>
        </w:rPr>
        <w:t>MWh</w:t>
      </w:r>
      <w:proofErr w:type="spellEnd"/>
      <w:r>
        <w:rPr>
          <w:rFonts w:ascii="Times New Roman" w:hAnsi="Times New Roman"/>
          <w:b/>
        </w:rPr>
        <w:t xml:space="preserve"> </w:t>
      </w:r>
      <w:r w:rsidRPr="005F5A3C">
        <w:rPr>
          <w:rFonts w:ascii="Times New Roman" w:hAnsi="Times New Roman"/>
        </w:rPr>
        <w:t>(</w:t>
      </w:r>
      <w:r>
        <w:rPr>
          <w:rFonts w:ascii="Times New Roman" w:hAnsi="Times New Roman"/>
        </w:rPr>
        <w:t>supposée constante)</w:t>
      </w:r>
      <w:r w:rsidR="00635F8F">
        <w:rPr>
          <w:rFonts w:ascii="Times New Roman" w:hAnsi="Times New Roman"/>
        </w:rPr>
        <w:t xml:space="preserve"> pour </w:t>
      </w:r>
      <w:r w:rsidR="007578A6">
        <w:rPr>
          <w:rFonts w:ascii="Times New Roman" w:hAnsi="Times New Roman"/>
        </w:rPr>
        <w:t xml:space="preserve">la sous-station Océan/Oasis et </w:t>
      </w:r>
      <w:r w:rsidR="00635F8F">
        <w:rPr>
          <w:rFonts w:ascii="Times New Roman" w:hAnsi="Times New Roman"/>
        </w:rPr>
        <w:t>C</w:t>
      </w:r>
      <w:r w:rsidR="00635F8F" w:rsidRPr="005F5A3C">
        <w:rPr>
          <w:rFonts w:ascii="Times New Roman" w:hAnsi="Times New Roman"/>
          <w:vertAlign w:val="subscript"/>
        </w:rPr>
        <w:t>ECS</w:t>
      </w:r>
      <w:r w:rsidR="00635F8F">
        <w:rPr>
          <w:rFonts w:ascii="Times New Roman" w:hAnsi="Times New Roman"/>
        </w:rPr>
        <w:t xml:space="preserve">= </w:t>
      </w:r>
      <w:r w:rsidR="00D65A17">
        <w:rPr>
          <w:rFonts w:ascii="Times New Roman" w:hAnsi="Times New Roman"/>
          <w:b/>
        </w:rPr>
        <w:t>252</w:t>
      </w:r>
      <w:r w:rsidR="00635F8F">
        <w:rPr>
          <w:rFonts w:ascii="Times New Roman" w:hAnsi="Times New Roman"/>
          <w:b/>
        </w:rPr>
        <w:t xml:space="preserve"> </w:t>
      </w:r>
      <w:proofErr w:type="spellStart"/>
      <w:r w:rsidR="00635F8F" w:rsidRPr="00DC6891">
        <w:rPr>
          <w:rFonts w:ascii="Times New Roman" w:hAnsi="Times New Roman"/>
          <w:b/>
        </w:rPr>
        <w:t>MWh</w:t>
      </w:r>
      <w:proofErr w:type="spellEnd"/>
      <w:r w:rsidR="00635F8F">
        <w:rPr>
          <w:rFonts w:ascii="Times New Roman" w:hAnsi="Times New Roman"/>
          <w:b/>
        </w:rPr>
        <w:t xml:space="preserve"> </w:t>
      </w:r>
      <w:r w:rsidR="00635F8F" w:rsidRPr="005F5A3C">
        <w:rPr>
          <w:rFonts w:ascii="Times New Roman" w:hAnsi="Times New Roman"/>
        </w:rPr>
        <w:t>(</w:t>
      </w:r>
      <w:r w:rsidR="00635F8F">
        <w:rPr>
          <w:rFonts w:ascii="Times New Roman" w:hAnsi="Times New Roman"/>
        </w:rPr>
        <w:t>supposée constante) pour la sous-station Giffard</w:t>
      </w:r>
    </w:p>
    <w:p w:rsidR="0044498A" w:rsidRDefault="0044498A" w:rsidP="0044498A">
      <w:pPr>
        <w:pStyle w:val="Paragraphedeliste"/>
        <w:numPr>
          <w:ilvl w:val="0"/>
          <w:numId w:val="16"/>
        </w:numPr>
        <w:spacing w:after="120"/>
        <w:ind w:left="714" w:hanging="357"/>
        <w:rPr>
          <w:rFonts w:ascii="Times New Roman" w:hAnsi="Times New Roman"/>
        </w:rPr>
      </w:pPr>
      <w:proofErr w:type="spellStart"/>
      <w:r>
        <w:rPr>
          <w:rFonts w:ascii="Times New Roman" w:hAnsi="Times New Roman"/>
        </w:rPr>
        <w:t>C</w:t>
      </w:r>
      <w:r w:rsidRPr="005F5A3C">
        <w:rPr>
          <w:rFonts w:ascii="Times New Roman" w:hAnsi="Times New Roman"/>
          <w:vertAlign w:val="subscript"/>
        </w:rPr>
        <w:t>réf</w:t>
      </w:r>
      <w:proofErr w:type="spellEnd"/>
      <w:r>
        <w:rPr>
          <w:rFonts w:ascii="Times New Roman" w:hAnsi="Times New Roman"/>
        </w:rPr>
        <w:t xml:space="preserve"> : consommation de référence nécessaire pour le chauffage [en </w:t>
      </w:r>
      <w:proofErr w:type="spellStart"/>
      <w:r>
        <w:rPr>
          <w:rFonts w:ascii="Times New Roman" w:hAnsi="Times New Roman"/>
        </w:rPr>
        <w:t>MWh</w:t>
      </w:r>
      <w:proofErr w:type="spellEnd"/>
      <w:r>
        <w:rPr>
          <w:rFonts w:ascii="Times New Roman" w:hAnsi="Times New Roman"/>
        </w:rPr>
        <w:t>]</w:t>
      </w:r>
    </w:p>
    <w:p w:rsidR="0044498A" w:rsidRDefault="0044498A" w:rsidP="0044498A">
      <w:pPr>
        <w:pStyle w:val="Paragraphedeliste"/>
        <w:numPr>
          <w:ilvl w:val="0"/>
          <w:numId w:val="16"/>
        </w:numPr>
        <w:spacing w:after="120"/>
        <w:ind w:left="714" w:hanging="357"/>
        <w:rPr>
          <w:rFonts w:ascii="Times New Roman" w:hAnsi="Times New Roman"/>
        </w:rPr>
      </w:pPr>
      <w:r>
        <w:rPr>
          <w:rFonts w:ascii="Times New Roman" w:hAnsi="Times New Roman"/>
        </w:rPr>
        <w:t>C</w:t>
      </w:r>
      <w:r w:rsidRPr="005F5A3C">
        <w:rPr>
          <w:rFonts w:ascii="Times New Roman" w:hAnsi="Times New Roman"/>
          <w:vertAlign w:val="subscript"/>
        </w:rPr>
        <w:t>RCU</w:t>
      </w:r>
      <w:r>
        <w:rPr>
          <w:rFonts w:ascii="Times New Roman" w:hAnsi="Times New Roman"/>
        </w:rPr>
        <w:t xml:space="preserve"> : consommation énergie RCU sur la saison de chauffe [en </w:t>
      </w:r>
      <w:proofErr w:type="spellStart"/>
      <w:r>
        <w:rPr>
          <w:rFonts w:ascii="Times New Roman" w:hAnsi="Times New Roman"/>
        </w:rPr>
        <w:t>MWh</w:t>
      </w:r>
      <w:proofErr w:type="spellEnd"/>
      <w:r>
        <w:rPr>
          <w:rFonts w:ascii="Times New Roman" w:hAnsi="Times New Roman"/>
        </w:rPr>
        <w:t>]</w:t>
      </w:r>
    </w:p>
    <w:p w:rsidR="0044498A" w:rsidRPr="005F5A3C" w:rsidRDefault="0044498A" w:rsidP="0044498A">
      <w:pPr>
        <w:pStyle w:val="Paragraphedeliste"/>
        <w:numPr>
          <w:ilvl w:val="0"/>
          <w:numId w:val="16"/>
        </w:numPr>
        <w:spacing w:after="120"/>
        <w:ind w:left="714" w:hanging="357"/>
        <w:rPr>
          <w:rFonts w:ascii="Times New Roman" w:hAnsi="Times New Roman"/>
        </w:rPr>
      </w:pPr>
      <w:proofErr w:type="spellStart"/>
      <w:r>
        <w:rPr>
          <w:rFonts w:ascii="Times New Roman" w:hAnsi="Times New Roman"/>
        </w:rPr>
        <w:t>C</w:t>
      </w:r>
      <w:r w:rsidRPr="005F5A3C">
        <w:rPr>
          <w:rFonts w:ascii="Times New Roman" w:hAnsi="Times New Roman"/>
          <w:vertAlign w:val="subscript"/>
        </w:rPr>
        <w:t>gaz</w:t>
      </w:r>
      <w:proofErr w:type="spellEnd"/>
      <w:r>
        <w:rPr>
          <w:rFonts w:ascii="Times New Roman" w:hAnsi="Times New Roman"/>
        </w:rPr>
        <w:t xml:space="preserve"> : consommation gaz sur la saison de chauffe [en </w:t>
      </w:r>
      <w:proofErr w:type="spellStart"/>
      <w:r>
        <w:rPr>
          <w:rFonts w:ascii="Times New Roman" w:hAnsi="Times New Roman"/>
        </w:rPr>
        <w:t>MWhPCI</w:t>
      </w:r>
      <w:proofErr w:type="spellEnd"/>
      <w:r>
        <w:rPr>
          <w:rFonts w:ascii="Times New Roman" w:hAnsi="Times New Roman"/>
        </w:rPr>
        <w:t>]</w:t>
      </w:r>
    </w:p>
    <w:p w:rsidR="0044498A" w:rsidRDefault="0044498A" w:rsidP="0044498A"/>
    <w:p w:rsidR="0044498A" w:rsidRPr="008F3FB4" w:rsidRDefault="008F3FB4" w:rsidP="0044498A">
      <m:oMathPara>
        <m:oMath>
          <m:r>
            <w:rPr>
              <w:rFonts w:ascii="Cambria Math" w:hAnsi="Cambria Math"/>
            </w:rPr>
            <m:t>Créf=</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nary>
            <m:naryPr>
              <m:chr m:val="∑"/>
              <m:limLoc m:val="undOvr"/>
              <m:ctrlPr>
                <w:rPr>
                  <w:rFonts w:ascii="Cambria Math" w:hAnsi="Cambria Math"/>
                  <w:i/>
                </w:rPr>
              </m:ctrlPr>
            </m:naryPr>
            <m:sub>
              <m:r>
                <w:rPr>
                  <w:rFonts w:ascii="Cambria Math" w:hAnsi="Cambria Math"/>
                </w:rPr>
                <m:t>n=2022</m:t>
              </m:r>
            </m:sub>
            <m:sup>
              <m:r>
                <w:rPr>
                  <w:rFonts w:ascii="Cambria Math" w:hAnsi="Cambria Math"/>
                </w:rPr>
                <m:t>2024</m:t>
              </m:r>
            </m:sup>
            <m:e>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[C</m:t>
                          </m:r>
                        </m:e>
                        <m:sub>
                          <m:r>
                            <w:rPr>
                              <w:rFonts w:ascii="Cambria Math" w:hAnsi="Cambria Math"/>
                            </w:rPr>
                            <m:t xml:space="preserve">RCU  </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gaz</m:t>
                          </m:r>
                        </m:sub>
                      </m:sSub>
                      <m:r>
                        <w:rPr>
                          <w:rFonts w:ascii="Cambria Math" w:hAnsi="Cambria Math"/>
                        </w:rPr>
                        <m:t xml:space="preserve"> - </m:t>
                      </m:r>
                      <m:sSub>
                        <m:sSubPr>
                          <m:ctrlPr>
                            <w:rPr>
                              <w:rFonts w:ascii="Cambria Math" w:hAnsi="Cambria Math"/>
                              <w:i/>
                            </w:rPr>
                          </m:ctrlPr>
                        </m:sSubPr>
                        <m:e>
                          <m:r>
                            <w:rPr>
                              <w:rFonts w:ascii="Cambria Math" w:hAnsi="Cambria Math"/>
                            </w:rPr>
                            <m:t>C</m:t>
                          </m:r>
                        </m:e>
                        <m:sub>
                          <m:r>
                            <w:rPr>
                              <w:rFonts w:ascii="Cambria Math" w:hAnsi="Cambria Math"/>
                            </w:rPr>
                            <m:t>ECS</m:t>
                          </m:r>
                        </m:sub>
                      </m:sSub>
                      <m:r>
                        <w:rPr>
                          <w:rFonts w:ascii="Cambria Math" w:hAnsi="Cambria Math"/>
                        </w:rPr>
                        <m:t>]</m:t>
                      </m:r>
                    </m:e>
                    <m:sub>
                      <m:r>
                        <w:rPr>
                          <w:rFonts w:ascii="Cambria Math" w:hAnsi="Cambria Math"/>
                        </w:rPr>
                        <m:t>saison de chauffe n</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DJU</m:t>
                          </m:r>
                        </m:e>
                        <m:sub>
                          <m:r>
                            <w:rPr>
                              <w:rFonts w:ascii="Cambria Math" w:hAnsi="Cambria Math"/>
                            </w:rPr>
                            <m:t>18</m:t>
                          </m:r>
                        </m:sub>
                      </m:sSub>
                      <m:r>
                        <m:rPr>
                          <m:sty m:val="p"/>
                        </m:rPr>
                        <w:rPr>
                          <w:rFonts w:ascii="Cambria Math" w:hAnsi="Cambria Math"/>
                        </w:rPr>
                        <m:t xml:space="preserve"> base</m:t>
                      </m:r>
                    </m:num>
                    <m:den>
                      <m:sSub>
                        <m:sSubPr>
                          <m:ctrlPr>
                            <w:rPr>
                              <w:rFonts w:ascii="Cambria Math" w:hAnsi="Cambria Math"/>
                              <w:i/>
                            </w:rPr>
                          </m:ctrlPr>
                        </m:sSubPr>
                        <m:e>
                          <m:r>
                            <w:rPr>
                              <w:rFonts w:ascii="Cambria Math" w:hAnsi="Cambria Math"/>
                            </w:rPr>
                            <m:t>DJU</m:t>
                          </m:r>
                        </m:e>
                        <m:sub>
                          <m:r>
                            <w:rPr>
                              <w:rFonts w:ascii="Cambria Math" w:hAnsi="Cambria Math"/>
                            </w:rPr>
                            <m:t>18</m:t>
                          </m:r>
                          <m:r>
                            <m:rPr>
                              <m:sty m:val="p"/>
                            </m:rPr>
                            <w:rPr>
                              <w:rFonts w:ascii="Cambria Math" w:hAnsi="Cambria Math"/>
                            </w:rPr>
                            <m:t>_saison chauffe n</m:t>
                          </m:r>
                        </m:sub>
                      </m:sSub>
                    </m:den>
                  </m:f>
                </m:e>
              </m:d>
            </m:e>
          </m:nary>
        </m:oMath>
      </m:oMathPara>
    </w:p>
    <w:p w:rsidR="0044498A" w:rsidRDefault="0044498A" w:rsidP="0044498A"/>
    <w:p w:rsidR="00D0274A" w:rsidRPr="007F0251" w:rsidRDefault="0044498A" w:rsidP="00745BBF">
      <w:pPr>
        <w:rPr>
          <w:b/>
        </w:rPr>
      </w:pPr>
      <w:r w:rsidRPr="007F0251">
        <w:rPr>
          <w:b/>
        </w:rPr>
        <w:t xml:space="preserve">Soit </w:t>
      </w:r>
      <w:proofErr w:type="spellStart"/>
      <w:r w:rsidRPr="007F0251">
        <w:rPr>
          <w:b/>
        </w:rPr>
        <w:t>C</w:t>
      </w:r>
      <w:r w:rsidRPr="007F0251">
        <w:rPr>
          <w:b/>
          <w:vertAlign w:val="subscript"/>
        </w:rPr>
        <w:t>réf</w:t>
      </w:r>
      <w:proofErr w:type="spellEnd"/>
      <w:r w:rsidR="007D71FD" w:rsidRPr="007F0251">
        <w:rPr>
          <w:b/>
        </w:rPr>
        <w:t xml:space="preserve"> = </w:t>
      </w:r>
      <w:r w:rsidR="007F0251" w:rsidRPr="007F0251">
        <w:rPr>
          <w:b/>
        </w:rPr>
        <w:t>4918</w:t>
      </w:r>
      <w:r w:rsidRPr="007F0251">
        <w:rPr>
          <w:b/>
        </w:rPr>
        <w:t xml:space="preserve"> </w:t>
      </w:r>
      <w:proofErr w:type="spellStart"/>
      <w:r w:rsidRPr="007F0251">
        <w:rPr>
          <w:b/>
        </w:rPr>
        <w:t>MWh</w:t>
      </w:r>
      <w:proofErr w:type="spellEnd"/>
      <w:r w:rsidR="00D65A17" w:rsidRPr="007F0251">
        <w:rPr>
          <w:b/>
        </w:rPr>
        <w:t xml:space="preserve"> pour Océan/Oasis</w:t>
      </w:r>
    </w:p>
    <w:p w:rsidR="00D65A17" w:rsidRPr="00D65A17" w:rsidRDefault="00D65A17" w:rsidP="00745BBF">
      <w:pPr>
        <w:rPr>
          <w:b/>
        </w:rPr>
      </w:pPr>
      <w:r w:rsidRPr="007F0251">
        <w:rPr>
          <w:b/>
        </w:rPr>
        <w:t xml:space="preserve">Soit </w:t>
      </w:r>
      <w:proofErr w:type="spellStart"/>
      <w:r w:rsidRPr="007F0251">
        <w:rPr>
          <w:b/>
        </w:rPr>
        <w:t>C</w:t>
      </w:r>
      <w:r w:rsidRPr="007F0251">
        <w:rPr>
          <w:b/>
          <w:vertAlign w:val="subscript"/>
        </w:rPr>
        <w:t>réf</w:t>
      </w:r>
      <w:proofErr w:type="spellEnd"/>
      <w:r w:rsidR="007D71FD" w:rsidRPr="007F0251">
        <w:rPr>
          <w:b/>
        </w:rPr>
        <w:t xml:space="preserve"> = </w:t>
      </w:r>
      <w:r w:rsidR="007F0251" w:rsidRPr="007F0251">
        <w:rPr>
          <w:b/>
        </w:rPr>
        <w:t>4049</w:t>
      </w:r>
      <w:r w:rsidRPr="007F0251">
        <w:rPr>
          <w:b/>
        </w:rPr>
        <w:t xml:space="preserve"> </w:t>
      </w:r>
      <w:proofErr w:type="spellStart"/>
      <w:r w:rsidRPr="007F0251">
        <w:rPr>
          <w:b/>
        </w:rPr>
        <w:t>MWh</w:t>
      </w:r>
      <w:proofErr w:type="spellEnd"/>
      <w:r w:rsidRPr="007F0251">
        <w:rPr>
          <w:b/>
        </w:rPr>
        <w:t xml:space="preserve"> pour </w:t>
      </w:r>
      <w:r w:rsidR="004D050D">
        <w:rPr>
          <w:b/>
        </w:rPr>
        <w:t>CMV/Giffard</w:t>
      </w:r>
    </w:p>
    <w:p w:rsidR="00D65A17" w:rsidRDefault="00D65A17" w:rsidP="00745BBF">
      <w:pPr>
        <w:rPr>
          <w:b/>
          <w:strike/>
        </w:rPr>
      </w:pPr>
    </w:p>
    <w:p w:rsidR="009B5F89" w:rsidRPr="009B5F89" w:rsidRDefault="009B5F89" w:rsidP="00745BBF">
      <w:pPr>
        <w:rPr>
          <w:b/>
        </w:rPr>
      </w:pPr>
    </w:p>
    <w:sectPr w:rsidR="009B5F89" w:rsidRPr="009B5F89" w:rsidSect="0016553F">
      <w:headerReference w:type="defaul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52" w:rsidRDefault="005B1B52" w:rsidP="00D36852">
      <w:pPr>
        <w:spacing w:before="0" w:after="0"/>
      </w:pPr>
      <w:r>
        <w:separator/>
      </w:r>
    </w:p>
  </w:endnote>
  <w:endnote w:type="continuationSeparator" w:id="0">
    <w:p w:rsidR="005B1B52" w:rsidRDefault="005B1B52" w:rsidP="00D368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52" w:rsidRDefault="005B1B52" w:rsidP="00D36852">
      <w:pPr>
        <w:spacing w:before="0" w:after="0"/>
      </w:pPr>
      <w:r>
        <w:separator/>
      </w:r>
    </w:p>
  </w:footnote>
  <w:footnote w:type="continuationSeparator" w:id="0">
    <w:p w:rsidR="005B1B52" w:rsidRDefault="005B1B52" w:rsidP="00D368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2666"/>
      <w:gridCol w:w="2702"/>
    </w:tblGrid>
    <w:tr w:rsidR="005B1B52" w:rsidRPr="00747E54" w:rsidTr="00747E54">
      <w:trPr>
        <w:trHeight w:val="1271"/>
      </w:trPr>
      <w:tc>
        <w:tcPr>
          <w:tcW w:w="3794" w:type="dxa"/>
          <w:tcBorders>
            <w:top w:val="single" w:sz="4" w:space="0" w:color="auto"/>
            <w:left w:val="single" w:sz="4" w:space="0" w:color="auto"/>
            <w:bottom w:val="single" w:sz="4" w:space="0" w:color="auto"/>
            <w:right w:val="single" w:sz="4" w:space="0" w:color="auto"/>
          </w:tcBorders>
          <w:vAlign w:val="center"/>
          <w:hideMark/>
        </w:tcPr>
        <w:p w:rsidR="005B1B52" w:rsidRPr="00747E54" w:rsidRDefault="005B1B52" w:rsidP="00FC204D">
          <w:pPr>
            <w:pStyle w:val="Corpsdetexte2"/>
            <w:spacing w:before="0" w:after="0" w:line="240" w:lineRule="auto"/>
            <w:jc w:val="center"/>
            <w:rPr>
              <w:rFonts w:cs="Arial"/>
              <w:b/>
              <w:szCs w:val="22"/>
            </w:rPr>
          </w:pPr>
          <w:r w:rsidRPr="005214EF">
            <w:rPr>
              <w:rFonts w:ascii="Arial" w:hAnsi="Arial" w:cs="Arial"/>
              <w:b/>
              <w:snapToGrid w:val="0"/>
              <w:szCs w:val="22"/>
            </w:rPr>
            <w:t>Accord</w:t>
          </w:r>
          <w:r>
            <w:rPr>
              <w:rFonts w:ascii="Arial" w:hAnsi="Arial" w:cs="Arial"/>
              <w:b/>
              <w:snapToGrid w:val="0"/>
              <w:szCs w:val="22"/>
            </w:rPr>
            <w:t>-</w:t>
          </w:r>
          <w:r w:rsidRPr="005214EF">
            <w:rPr>
              <w:rFonts w:ascii="Arial" w:hAnsi="Arial" w:cs="Arial"/>
              <w:b/>
              <w:snapToGrid w:val="0"/>
              <w:szCs w:val="22"/>
            </w:rPr>
            <w:t xml:space="preserve">cadre à bons de commande </w:t>
          </w:r>
          <w:r>
            <w:rPr>
              <w:rFonts w:ascii="Arial" w:hAnsi="Arial" w:cs="Arial"/>
              <w:b/>
              <w:snapToGrid w:val="0"/>
              <w:szCs w:val="22"/>
            </w:rPr>
            <w:t xml:space="preserve">pour la maintenance </w:t>
          </w:r>
          <w:proofErr w:type="spellStart"/>
          <w:r>
            <w:rPr>
              <w:rFonts w:ascii="Arial" w:hAnsi="Arial" w:cs="Arial"/>
              <w:b/>
              <w:snapToGrid w:val="0"/>
              <w:szCs w:val="22"/>
            </w:rPr>
            <w:t>multi-technique</w:t>
          </w:r>
          <w:proofErr w:type="spellEnd"/>
          <w:r>
            <w:rPr>
              <w:rFonts w:ascii="Arial" w:hAnsi="Arial" w:cs="Arial"/>
              <w:b/>
              <w:snapToGrid w:val="0"/>
              <w:szCs w:val="22"/>
            </w:rPr>
            <w:t xml:space="preserve"> des équipements du patrimoine immobilier de Brest – Sites extérieurs</w:t>
          </w:r>
        </w:p>
      </w:tc>
      <w:tc>
        <w:tcPr>
          <w:tcW w:w="2747" w:type="dxa"/>
          <w:tcBorders>
            <w:top w:val="single" w:sz="4" w:space="0" w:color="auto"/>
            <w:left w:val="single" w:sz="4" w:space="0" w:color="auto"/>
            <w:bottom w:val="single" w:sz="4" w:space="0" w:color="auto"/>
            <w:right w:val="single" w:sz="4" w:space="0" w:color="auto"/>
          </w:tcBorders>
          <w:vAlign w:val="center"/>
          <w:hideMark/>
        </w:tcPr>
        <w:p w:rsidR="005B1B52" w:rsidRPr="00747E54" w:rsidRDefault="005B1B52" w:rsidP="00FC204D">
          <w:pPr>
            <w:pStyle w:val="En-tte"/>
            <w:spacing w:before="0" w:after="0"/>
            <w:jc w:val="center"/>
            <w:rPr>
              <w:rFonts w:ascii="Calibri" w:hAnsi="Calibri"/>
              <w:b/>
            </w:rPr>
          </w:pPr>
          <w:r w:rsidRPr="00747E54">
            <w:rPr>
              <w:rFonts w:ascii="Calibri" w:hAnsi="Calibri"/>
              <w:b/>
            </w:rPr>
            <w:t>C.C.T.P</w:t>
          </w:r>
        </w:p>
        <w:p w:rsidR="005B1B52" w:rsidRPr="00747E54" w:rsidRDefault="005B1B52" w:rsidP="00F37667">
          <w:pPr>
            <w:pStyle w:val="En-tte"/>
            <w:spacing w:before="0" w:after="0"/>
            <w:jc w:val="center"/>
            <w:rPr>
              <w:rFonts w:ascii="Calibri" w:hAnsi="Calibri"/>
              <w:b/>
            </w:rPr>
          </w:pPr>
          <w:r>
            <w:rPr>
              <w:rFonts w:ascii="Calibri" w:hAnsi="Calibri"/>
              <w:b/>
            </w:rPr>
            <w:t xml:space="preserve">ANNEXE </w:t>
          </w:r>
        </w:p>
      </w:tc>
      <w:tc>
        <w:tcPr>
          <w:tcW w:w="2747" w:type="dxa"/>
          <w:tcBorders>
            <w:top w:val="single" w:sz="4" w:space="0" w:color="auto"/>
            <w:left w:val="single" w:sz="4" w:space="0" w:color="auto"/>
            <w:bottom w:val="single" w:sz="4" w:space="0" w:color="auto"/>
            <w:right w:val="single" w:sz="4" w:space="0" w:color="auto"/>
          </w:tcBorders>
          <w:vAlign w:val="center"/>
        </w:tcPr>
        <w:p w:rsidR="005B1B52" w:rsidRPr="00747E54" w:rsidRDefault="005B1B52" w:rsidP="00733282">
          <w:pPr>
            <w:jc w:val="center"/>
            <w:rPr>
              <w:rFonts w:ascii="Calibri" w:hAnsi="Calibri"/>
              <w:szCs w:val="22"/>
            </w:rPr>
          </w:pPr>
          <w:r>
            <w:rPr>
              <w:rFonts w:ascii="Calibri" w:hAnsi="Calibri"/>
              <w:b/>
            </w:rPr>
            <w:t>Certi</w:t>
          </w:r>
          <w:r>
            <w:rPr>
              <w:rFonts w:ascii="Calibri" w:hAnsi="Calibri"/>
              <w:b/>
              <w:szCs w:val="22"/>
            </w:rPr>
            <w:t>ficat d’économie d’énergie (CEE) et clauses d’intéressement.</w:t>
          </w:r>
        </w:p>
      </w:tc>
    </w:tr>
  </w:tbl>
  <w:p w:rsidR="005B1B52" w:rsidRDefault="005B1B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6ADF"/>
    <w:multiLevelType w:val="hybridMultilevel"/>
    <w:tmpl w:val="7FB26FFC"/>
    <w:lvl w:ilvl="0" w:tplc="4DF060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C5A4C"/>
    <w:multiLevelType w:val="hybridMultilevel"/>
    <w:tmpl w:val="D4204A3A"/>
    <w:lvl w:ilvl="0" w:tplc="EEB40F8A">
      <w:start w:val="1"/>
      <w:numFmt w:val="bullet"/>
      <w:lvlText w:val=""/>
      <w:lvlJc w:val="left"/>
      <w:pPr>
        <w:ind w:left="1077" w:hanging="360"/>
      </w:pPr>
      <w:rPr>
        <w:rFonts w:ascii="Wingdings" w:hAnsi="Wingdings" w:hint="default"/>
        <w:b w:val="0"/>
        <w:i w:val="0"/>
        <w:color w:val="auto"/>
        <w:sz w:val="24"/>
        <w:szCs w:val="24"/>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 w15:restartNumberingAfterBreak="0">
    <w:nsid w:val="06D53E57"/>
    <w:multiLevelType w:val="hybridMultilevel"/>
    <w:tmpl w:val="8A7EA8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032D8D"/>
    <w:multiLevelType w:val="hybridMultilevel"/>
    <w:tmpl w:val="6584F0B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56295F"/>
    <w:multiLevelType w:val="hybridMultilevel"/>
    <w:tmpl w:val="B50E84FA"/>
    <w:lvl w:ilvl="0" w:tplc="040C0005">
      <w:start w:val="1"/>
      <w:numFmt w:val="bullet"/>
      <w:lvlText w:val=""/>
      <w:lvlJc w:val="left"/>
      <w:pPr>
        <w:ind w:left="720" w:hanging="360"/>
      </w:pPr>
      <w:rPr>
        <w:rFonts w:ascii="Wingdings" w:hAnsi="Wingdings" w:hint="default"/>
        <w:b/>
        <w:i w:val="0"/>
        <w:color w:val="44546A"/>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363EAC"/>
    <w:multiLevelType w:val="hybridMultilevel"/>
    <w:tmpl w:val="09C6413A"/>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CB3481D"/>
    <w:multiLevelType w:val="hybridMultilevel"/>
    <w:tmpl w:val="864A6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16DDC"/>
    <w:multiLevelType w:val="hybridMultilevel"/>
    <w:tmpl w:val="AA0C212C"/>
    <w:lvl w:ilvl="0" w:tplc="4DF060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37DA0"/>
    <w:multiLevelType w:val="hybridMultilevel"/>
    <w:tmpl w:val="7DB88106"/>
    <w:lvl w:ilvl="0" w:tplc="4DF060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2167DC"/>
    <w:multiLevelType w:val="hybridMultilevel"/>
    <w:tmpl w:val="FF588FC0"/>
    <w:lvl w:ilvl="0" w:tplc="4DF060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29782F"/>
    <w:multiLevelType w:val="hybridMultilevel"/>
    <w:tmpl w:val="F1668648"/>
    <w:lvl w:ilvl="0" w:tplc="162E65D4">
      <w:numFmt w:val="bullet"/>
      <w:lvlText w:val="-"/>
      <w:lvlJc w:val="left"/>
      <w:pPr>
        <w:ind w:left="1077" w:hanging="360"/>
      </w:pPr>
      <w:rPr>
        <w:rFonts w:ascii="Calibri" w:eastAsia="Calibr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3CA71F7F"/>
    <w:multiLevelType w:val="hybridMultilevel"/>
    <w:tmpl w:val="698808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F27ABF"/>
    <w:multiLevelType w:val="hybridMultilevel"/>
    <w:tmpl w:val="81006CA8"/>
    <w:lvl w:ilvl="0" w:tplc="4DF060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D274B0"/>
    <w:multiLevelType w:val="hybridMultilevel"/>
    <w:tmpl w:val="85966EB4"/>
    <w:lvl w:ilvl="0" w:tplc="E458887C">
      <w:start w:val="1"/>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142A1A"/>
    <w:multiLevelType w:val="hybridMultilevel"/>
    <w:tmpl w:val="7402F55A"/>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 w15:restartNumberingAfterBreak="0">
    <w:nsid w:val="56D73A65"/>
    <w:multiLevelType w:val="hybridMultilevel"/>
    <w:tmpl w:val="24D2ED06"/>
    <w:lvl w:ilvl="0" w:tplc="4DF06032">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06D0FC1"/>
    <w:multiLevelType w:val="hybridMultilevel"/>
    <w:tmpl w:val="0628898E"/>
    <w:lvl w:ilvl="0" w:tplc="4DF060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8A2BB7"/>
    <w:multiLevelType w:val="hybridMultilevel"/>
    <w:tmpl w:val="7A9878F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B9B58CB"/>
    <w:multiLevelType w:val="multilevel"/>
    <w:tmpl w:val="C99047F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2138"/>
        </w:tabs>
        <w:ind w:left="2138" w:hanging="720"/>
      </w:pPr>
    </w:lvl>
    <w:lvl w:ilvl="3">
      <w:start w:val="1"/>
      <w:numFmt w:val="decimal"/>
      <w:pStyle w:val="Titre4"/>
      <w:lvlText w:val="%1.%2.%3.%4"/>
      <w:lvlJc w:val="left"/>
      <w:pPr>
        <w:tabs>
          <w:tab w:val="num" w:pos="1221"/>
        </w:tabs>
        <w:ind w:left="1221" w:hanging="864"/>
      </w:pPr>
    </w:lvl>
    <w:lvl w:ilvl="4">
      <w:start w:val="1"/>
      <w:numFmt w:val="decimal"/>
      <w:pStyle w:val="Titre5"/>
      <w:lvlText w:val="%1.%2.%3.%4.%5"/>
      <w:lvlJc w:val="left"/>
      <w:pPr>
        <w:tabs>
          <w:tab w:val="num" w:pos="1365"/>
        </w:tabs>
        <w:ind w:left="1365" w:hanging="1008"/>
      </w:pPr>
    </w:lvl>
    <w:lvl w:ilvl="5">
      <w:start w:val="1"/>
      <w:numFmt w:val="decimal"/>
      <w:pStyle w:val="Titre6"/>
      <w:lvlText w:val="%1.%2.%3.%4.%5.%6"/>
      <w:lvlJc w:val="left"/>
      <w:pPr>
        <w:tabs>
          <w:tab w:val="num" w:pos="1509"/>
        </w:tabs>
        <w:ind w:left="1509" w:hanging="1152"/>
      </w:pPr>
    </w:lvl>
    <w:lvl w:ilvl="6">
      <w:start w:val="1"/>
      <w:numFmt w:val="decimal"/>
      <w:pStyle w:val="Titre7"/>
      <w:lvlText w:val="%1.%2.%3.%4.%5.%6.%7"/>
      <w:lvlJc w:val="left"/>
      <w:pPr>
        <w:tabs>
          <w:tab w:val="num" w:pos="1653"/>
        </w:tabs>
        <w:ind w:left="1653" w:hanging="1296"/>
      </w:pPr>
    </w:lvl>
    <w:lvl w:ilvl="7">
      <w:start w:val="1"/>
      <w:numFmt w:val="decimal"/>
      <w:pStyle w:val="Titre8"/>
      <w:lvlText w:val="%1.%2.%3.%4.%5.%6.%7.%8"/>
      <w:lvlJc w:val="left"/>
      <w:pPr>
        <w:tabs>
          <w:tab w:val="num" w:pos="1797"/>
        </w:tabs>
        <w:ind w:left="1797" w:hanging="1440"/>
      </w:pPr>
    </w:lvl>
    <w:lvl w:ilvl="8">
      <w:start w:val="1"/>
      <w:numFmt w:val="decimal"/>
      <w:pStyle w:val="Titre9"/>
      <w:lvlText w:val="%1.%2.%3.%4.%5.%6.%7.%8.%9"/>
      <w:lvlJc w:val="left"/>
      <w:pPr>
        <w:tabs>
          <w:tab w:val="num" w:pos="1941"/>
        </w:tabs>
        <w:ind w:left="1941" w:hanging="1584"/>
      </w:pPr>
    </w:lvl>
  </w:abstractNum>
  <w:abstractNum w:abstractNumId="19" w15:restartNumberingAfterBreak="0">
    <w:nsid w:val="7A10064E"/>
    <w:multiLevelType w:val="hybridMultilevel"/>
    <w:tmpl w:val="0AE8AAC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3"/>
  </w:num>
  <w:num w:numId="11">
    <w:abstractNumId w:val="3"/>
  </w:num>
  <w:num w:numId="12">
    <w:abstractNumId w:val="12"/>
  </w:num>
  <w:num w:numId="13">
    <w:abstractNumId w:val="17"/>
  </w:num>
  <w:num w:numId="14">
    <w:abstractNumId w:val="1"/>
  </w:num>
  <w:num w:numId="15">
    <w:abstractNumId w:val="11"/>
  </w:num>
  <w:num w:numId="16">
    <w:abstractNumId w:val="4"/>
  </w:num>
  <w:num w:numId="17">
    <w:abstractNumId w:val="7"/>
  </w:num>
  <w:num w:numId="18">
    <w:abstractNumId w:val="6"/>
  </w:num>
  <w:num w:numId="19">
    <w:abstractNumId w:val="15"/>
  </w:num>
  <w:num w:numId="20">
    <w:abstractNumId w:val="19"/>
  </w:num>
  <w:num w:numId="21">
    <w:abstractNumId w:val="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4"/>
  </w:num>
  <w:num w:numId="25">
    <w:abstractNumId w:val="2"/>
  </w:num>
  <w:num w:numId="26">
    <w:abstractNumId w:val="9"/>
  </w:num>
  <w:num w:numId="27">
    <w:abstractNumId w:val="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4CC"/>
    <w:rsid w:val="00000B78"/>
    <w:rsid w:val="00025847"/>
    <w:rsid w:val="00060D52"/>
    <w:rsid w:val="00127DEB"/>
    <w:rsid w:val="00134E04"/>
    <w:rsid w:val="0016553F"/>
    <w:rsid w:val="00195678"/>
    <w:rsid w:val="001A3476"/>
    <w:rsid w:val="001B6F3E"/>
    <w:rsid w:val="002473E0"/>
    <w:rsid w:val="00255CAD"/>
    <w:rsid w:val="00290810"/>
    <w:rsid w:val="002A5705"/>
    <w:rsid w:val="002B4ADF"/>
    <w:rsid w:val="002D39AC"/>
    <w:rsid w:val="002E2C7C"/>
    <w:rsid w:val="00347BE8"/>
    <w:rsid w:val="0038610A"/>
    <w:rsid w:val="00416956"/>
    <w:rsid w:val="004318AD"/>
    <w:rsid w:val="0044498A"/>
    <w:rsid w:val="0046317D"/>
    <w:rsid w:val="004926A6"/>
    <w:rsid w:val="004C4772"/>
    <w:rsid w:val="004D050D"/>
    <w:rsid w:val="005014F6"/>
    <w:rsid w:val="005047F6"/>
    <w:rsid w:val="00555382"/>
    <w:rsid w:val="005B1B52"/>
    <w:rsid w:val="005C2340"/>
    <w:rsid w:val="005D1490"/>
    <w:rsid w:val="006312A6"/>
    <w:rsid w:val="00635F8F"/>
    <w:rsid w:val="006571E4"/>
    <w:rsid w:val="006603C4"/>
    <w:rsid w:val="00693E18"/>
    <w:rsid w:val="00707689"/>
    <w:rsid w:val="00733282"/>
    <w:rsid w:val="00733579"/>
    <w:rsid w:val="00745BBF"/>
    <w:rsid w:val="00747E54"/>
    <w:rsid w:val="007578A6"/>
    <w:rsid w:val="00782B09"/>
    <w:rsid w:val="00794E32"/>
    <w:rsid w:val="007D71FD"/>
    <w:rsid w:val="007E640C"/>
    <w:rsid w:val="007F0251"/>
    <w:rsid w:val="007F1E98"/>
    <w:rsid w:val="00817DAE"/>
    <w:rsid w:val="00836F73"/>
    <w:rsid w:val="00853041"/>
    <w:rsid w:val="00861E84"/>
    <w:rsid w:val="008757C8"/>
    <w:rsid w:val="00893D06"/>
    <w:rsid w:val="008A1E01"/>
    <w:rsid w:val="008B4A26"/>
    <w:rsid w:val="008F3FB4"/>
    <w:rsid w:val="008F4433"/>
    <w:rsid w:val="008F61D9"/>
    <w:rsid w:val="009027EF"/>
    <w:rsid w:val="00923651"/>
    <w:rsid w:val="00956C66"/>
    <w:rsid w:val="009B5F89"/>
    <w:rsid w:val="009D41C2"/>
    <w:rsid w:val="009F21FF"/>
    <w:rsid w:val="009F620A"/>
    <w:rsid w:val="00A075CA"/>
    <w:rsid w:val="00A56650"/>
    <w:rsid w:val="00AD04CC"/>
    <w:rsid w:val="00AE7381"/>
    <w:rsid w:val="00AF2C8A"/>
    <w:rsid w:val="00B03F42"/>
    <w:rsid w:val="00B10F83"/>
    <w:rsid w:val="00B60FC2"/>
    <w:rsid w:val="00B71EC3"/>
    <w:rsid w:val="00B96087"/>
    <w:rsid w:val="00BF7BF5"/>
    <w:rsid w:val="00C11BF5"/>
    <w:rsid w:val="00C163E7"/>
    <w:rsid w:val="00C21B4D"/>
    <w:rsid w:val="00CA1A55"/>
    <w:rsid w:val="00CF426D"/>
    <w:rsid w:val="00D0274A"/>
    <w:rsid w:val="00D11743"/>
    <w:rsid w:val="00D36852"/>
    <w:rsid w:val="00D445F7"/>
    <w:rsid w:val="00D61201"/>
    <w:rsid w:val="00D65A17"/>
    <w:rsid w:val="00D95D4C"/>
    <w:rsid w:val="00DC670C"/>
    <w:rsid w:val="00E01000"/>
    <w:rsid w:val="00E24CFC"/>
    <w:rsid w:val="00E26F95"/>
    <w:rsid w:val="00E30EED"/>
    <w:rsid w:val="00E40A83"/>
    <w:rsid w:val="00E4199C"/>
    <w:rsid w:val="00E74610"/>
    <w:rsid w:val="00E8709F"/>
    <w:rsid w:val="00F2691D"/>
    <w:rsid w:val="00F37667"/>
    <w:rsid w:val="00F46A7B"/>
    <w:rsid w:val="00F54C84"/>
    <w:rsid w:val="00F61E8D"/>
    <w:rsid w:val="00F776AB"/>
    <w:rsid w:val="00FC20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0222A"/>
  <w15:chartTrackingRefBased/>
  <w15:docId w15:val="{207F53A9-15C1-41BD-9D5E-BD3B9C319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BF5"/>
    <w:pPr>
      <w:spacing w:before="120" w:after="120"/>
      <w:jc w:val="both"/>
    </w:pPr>
    <w:rPr>
      <w:rFonts w:ascii="Arial" w:hAnsi="Arial"/>
      <w:sz w:val="22"/>
      <w:szCs w:val="24"/>
    </w:rPr>
  </w:style>
  <w:style w:type="paragraph" w:styleId="Titre1">
    <w:name w:val="heading 1"/>
    <w:basedOn w:val="Normal"/>
    <w:next w:val="Normal"/>
    <w:link w:val="Titre1Car"/>
    <w:qFormat/>
    <w:rsid w:val="00C11BF5"/>
    <w:pPr>
      <w:keepNext/>
      <w:numPr>
        <w:numId w:val="9"/>
      </w:numPr>
      <w:spacing w:before="200" w:after="0"/>
      <w:outlineLvl w:val="0"/>
    </w:pPr>
    <w:rPr>
      <w:b/>
      <w:bCs/>
      <w:smallCaps/>
      <w:sz w:val="24"/>
    </w:rPr>
  </w:style>
  <w:style w:type="paragraph" w:styleId="Titre2">
    <w:name w:val="heading 2"/>
    <w:basedOn w:val="Normal"/>
    <w:next w:val="Normal"/>
    <w:link w:val="Titre2Car"/>
    <w:qFormat/>
    <w:rsid w:val="00C11BF5"/>
    <w:pPr>
      <w:keepNext/>
      <w:numPr>
        <w:ilvl w:val="1"/>
        <w:numId w:val="9"/>
      </w:numPr>
      <w:spacing w:before="240" w:after="180"/>
      <w:outlineLvl w:val="1"/>
    </w:pPr>
    <w:rPr>
      <w:rFonts w:cs="Arial"/>
      <w:bCs/>
      <w:iCs/>
      <w:szCs w:val="22"/>
      <w:u w:val="single"/>
    </w:rPr>
  </w:style>
  <w:style w:type="paragraph" w:styleId="Titre3">
    <w:name w:val="heading 3"/>
    <w:basedOn w:val="Normal"/>
    <w:next w:val="Normal"/>
    <w:link w:val="Titre3Car"/>
    <w:qFormat/>
    <w:rsid w:val="00C11BF5"/>
    <w:pPr>
      <w:keepNext/>
      <w:numPr>
        <w:ilvl w:val="2"/>
        <w:numId w:val="9"/>
      </w:numPr>
      <w:tabs>
        <w:tab w:val="clear" w:pos="2138"/>
        <w:tab w:val="num" w:pos="1077"/>
      </w:tabs>
      <w:spacing w:before="240" w:after="60"/>
      <w:ind w:left="1077"/>
      <w:outlineLvl w:val="2"/>
    </w:pPr>
    <w:rPr>
      <w:rFonts w:cs="Arial"/>
      <w:b/>
      <w:bCs/>
      <w:sz w:val="26"/>
      <w:szCs w:val="26"/>
    </w:rPr>
  </w:style>
  <w:style w:type="paragraph" w:styleId="Titre4">
    <w:name w:val="heading 4"/>
    <w:basedOn w:val="Normal"/>
    <w:next w:val="Normal"/>
    <w:link w:val="Titre4Car"/>
    <w:qFormat/>
    <w:rsid w:val="00C11BF5"/>
    <w:pPr>
      <w:keepNext/>
      <w:numPr>
        <w:ilvl w:val="3"/>
        <w:numId w:val="9"/>
      </w:numPr>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C11BF5"/>
    <w:pPr>
      <w:numPr>
        <w:ilvl w:val="4"/>
        <w:numId w:val="9"/>
      </w:numPr>
      <w:spacing w:before="240" w:after="60"/>
      <w:outlineLvl w:val="4"/>
    </w:pPr>
    <w:rPr>
      <w:b/>
      <w:bCs/>
      <w:i/>
      <w:iCs/>
      <w:sz w:val="26"/>
      <w:szCs w:val="26"/>
    </w:rPr>
  </w:style>
  <w:style w:type="paragraph" w:styleId="Titre6">
    <w:name w:val="heading 6"/>
    <w:basedOn w:val="Normal"/>
    <w:next w:val="Normal"/>
    <w:link w:val="Titre6Car"/>
    <w:qFormat/>
    <w:rsid w:val="00C11BF5"/>
    <w:pPr>
      <w:numPr>
        <w:ilvl w:val="5"/>
        <w:numId w:val="9"/>
      </w:numPr>
      <w:spacing w:before="240" w:after="60"/>
      <w:outlineLvl w:val="5"/>
    </w:pPr>
    <w:rPr>
      <w:rFonts w:ascii="Times New Roman" w:hAnsi="Times New Roman"/>
      <w:b/>
      <w:bCs/>
      <w:szCs w:val="22"/>
    </w:rPr>
  </w:style>
  <w:style w:type="paragraph" w:styleId="Titre7">
    <w:name w:val="heading 7"/>
    <w:basedOn w:val="Normal"/>
    <w:next w:val="Normal"/>
    <w:link w:val="Titre7Car"/>
    <w:qFormat/>
    <w:rsid w:val="00C11BF5"/>
    <w:pPr>
      <w:numPr>
        <w:ilvl w:val="6"/>
        <w:numId w:val="9"/>
      </w:numPr>
      <w:spacing w:before="240" w:after="60"/>
      <w:outlineLvl w:val="6"/>
    </w:pPr>
    <w:rPr>
      <w:rFonts w:ascii="Times New Roman" w:hAnsi="Times New Roman"/>
      <w:sz w:val="24"/>
    </w:rPr>
  </w:style>
  <w:style w:type="paragraph" w:styleId="Titre8">
    <w:name w:val="heading 8"/>
    <w:basedOn w:val="Normal"/>
    <w:next w:val="Normal"/>
    <w:link w:val="Titre8Car"/>
    <w:qFormat/>
    <w:rsid w:val="00C11BF5"/>
    <w:pPr>
      <w:numPr>
        <w:ilvl w:val="7"/>
        <w:numId w:val="9"/>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C11BF5"/>
    <w:pPr>
      <w:numPr>
        <w:ilvl w:val="8"/>
        <w:numId w:val="9"/>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C11BF5"/>
    <w:rPr>
      <w:rFonts w:ascii="Arial" w:hAnsi="Arial"/>
      <w:b/>
      <w:bCs/>
      <w:smallCaps/>
      <w:sz w:val="24"/>
      <w:szCs w:val="24"/>
      <w:lang w:eastAsia="fr-FR"/>
    </w:rPr>
  </w:style>
  <w:style w:type="character" w:customStyle="1" w:styleId="Titre2Car">
    <w:name w:val="Titre 2 Car"/>
    <w:link w:val="Titre2"/>
    <w:rsid w:val="00C11BF5"/>
    <w:rPr>
      <w:rFonts w:ascii="Arial" w:hAnsi="Arial" w:cs="Arial"/>
      <w:bCs/>
      <w:iCs/>
      <w:sz w:val="22"/>
      <w:szCs w:val="22"/>
      <w:u w:val="single"/>
      <w:lang w:eastAsia="fr-FR"/>
    </w:rPr>
  </w:style>
  <w:style w:type="character" w:customStyle="1" w:styleId="Titre3Car">
    <w:name w:val="Titre 3 Car"/>
    <w:link w:val="Titre3"/>
    <w:rsid w:val="00C11BF5"/>
    <w:rPr>
      <w:rFonts w:ascii="Arial" w:hAnsi="Arial" w:cs="Arial"/>
      <w:b/>
      <w:bCs/>
      <w:sz w:val="26"/>
      <w:szCs w:val="26"/>
      <w:lang w:eastAsia="fr-FR"/>
    </w:rPr>
  </w:style>
  <w:style w:type="character" w:customStyle="1" w:styleId="Titre4Car">
    <w:name w:val="Titre 4 Car"/>
    <w:link w:val="Titre4"/>
    <w:rsid w:val="00C11BF5"/>
    <w:rPr>
      <w:b/>
      <w:bCs/>
      <w:sz w:val="28"/>
      <w:szCs w:val="28"/>
      <w:lang w:eastAsia="fr-FR"/>
    </w:rPr>
  </w:style>
  <w:style w:type="character" w:customStyle="1" w:styleId="Titre5Car">
    <w:name w:val="Titre 5 Car"/>
    <w:link w:val="Titre5"/>
    <w:rsid w:val="00C11BF5"/>
    <w:rPr>
      <w:rFonts w:ascii="Arial" w:hAnsi="Arial"/>
      <w:b/>
      <w:bCs/>
      <w:i/>
      <w:iCs/>
      <w:sz w:val="26"/>
      <w:szCs w:val="26"/>
      <w:lang w:eastAsia="fr-FR"/>
    </w:rPr>
  </w:style>
  <w:style w:type="character" w:customStyle="1" w:styleId="Titre6Car">
    <w:name w:val="Titre 6 Car"/>
    <w:link w:val="Titre6"/>
    <w:rsid w:val="00C11BF5"/>
    <w:rPr>
      <w:b/>
      <w:bCs/>
      <w:sz w:val="22"/>
      <w:szCs w:val="22"/>
      <w:lang w:eastAsia="fr-FR"/>
    </w:rPr>
  </w:style>
  <w:style w:type="character" w:customStyle="1" w:styleId="Titre7Car">
    <w:name w:val="Titre 7 Car"/>
    <w:link w:val="Titre7"/>
    <w:rsid w:val="00C11BF5"/>
    <w:rPr>
      <w:sz w:val="24"/>
      <w:szCs w:val="24"/>
      <w:lang w:eastAsia="fr-FR"/>
    </w:rPr>
  </w:style>
  <w:style w:type="character" w:customStyle="1" w:styleId="Titre8Car">
    <w:name w:val="Titre 8 Car"/>
    <w:link w:val="Titre8"/>
    <w:rsid w:val="00C11BF5"/>
    <w:rPr>
      <w:i/>
      <w:iCs/>
      <w:sz w:val="24"/>
      <w:szCs w:val="24"/>
      <w:lang w:eastAsia="fr-FR"/>
    </w:rPr>
  </w:style>
  <w:style w:type="character" w:customStyle="1" w:styleId="Titre9Car">
    <w:name w:val="Titre 9 Car"/>
    <w:link w:val="Titre9"/>
    <w:rsid w:val="00C11BF5"/>
    <w:rPr>
      <w:rFonts w:ascii="Arial" w:hAnsi="Arial" w:cs="Arial"/>
      <w:sz w:val="22"/>
      <w:szCs w:val="22"/>
      <w:lang w:eastAsia="fr-FR"/>
    </w:rPr>
  </w:style>
  <w:style w:type="paragraph" w:styleId="En-tte">
    <w:name w:val="header"/>
    <w:basedOn w:val="Normal"/>
    <w:link w:val="En-tteCar"/>
    <w:uiPriority w:val="99"/>
    <w:unhideWhenUsed/>
    <w:rsid w:val="00D36852"/>
    <w:pPr>
      <w:tabs>
        <w:tab w:val="center" w:pos="4536"/>
        <w:tab w:val="right" w:pos="9072"/>
      </w:tabs>
    </w:pPr>
  </w:style>
  <w:style w:type="character" w:customStyle="1" w:styleId="En-tteCar">
    <w:name w:val="En-tête Car"/>
    <w:link w:val="En-tte"/>
    <w:uiPriority w:val="99"/>
    <w:rsid w:val="00D36852"/>
    <w:rPr>
      <w:rFonts w:ascii="Arial" w:hAnsi="Arial"/>
      <w:sz w:val="22"/>
      <w:szCs w:val="24"/>
    </w:rPr>
  </w:style>
  <w:style w:type="paragraph" w:styleId="Pieddepage">
    <w:name w:val="footer"/>
    <w:basedOn w:val="Normal"/>
    <w:link w:val="PieddepageCar"/>
    <w:uiPriority w:val="99"/>
    <w:unhideWhenUsed/>
    <w:rsid w:val="00D36852"/>
    <w:pPr>
      <w:tabs>
        <w:tab w:val="center" w:pos="4536"/>
        <w:tab w:val="right" w:pos="9072"/>
      </w:tabs>
    </w:pPr>
  </w:style>
  <w:style w:type="character" w:customStyle="1" w:styleId="PieddepageCar">
    <w:name w:val="Pied de page Car"/>
    <w:link w:val="Pieddepage"/>
    <w:uiPriority w:val="99"/>
    <w:rsid w:val="00D36852"/>
    <w:rPr>
      <w:rFonts w:ascii="Arial" w:hAnsi="Arial"/>
      <w:sz w:val="22"/>
      <w:szCs w:val="24"/>
    </w:rPr>
  </w:style>
  <w:style w:type="paragraph" w:styleId="Corpsdetexte2">
    <w:name w:val="Body Text 2"/>
    <w:basedOn w:val="Normal"/>
    <w:link w:val="Corpsdetexte2Car"/>
    <w:uiPriority w:val="99"/>
    <w:unhideWhenUsed/>
    <w:rsid w:val="00D36852"/>
    <w:pPr>
      <w:spacing w:line="480" w:lineRule="auto"/>
    </w:pPr>
    <w:rPr>
      <w:rFonts w:ascii="Calibri" w:hAnsi="Calibri"/>
    </w:rPr>
  </w:style>
  <w:style w:type="character" w:customStyle="1" w:styleId="Corpsdetexte2Car">
    <w:name w:val="Corps de texte 2 Car"/>
    <w:link w:val="Corpsdetexte2"/>
    <w:uiPriority w:val="99"/>
    <w:rsid w:val="00D36852"/>
    <w:rPr>
      <w:rFonts w:ascii="Calibri" w:hAnsi="Calibri"/>
      <w:sz w:val="22"/>
      <w:szCs w:val="24"/>
    </w:rPr>
  </w:style>
  <w:style w:type="paragraph" w:styleId="Titre">
    <w:name w:val="Title"/>
    <w:basedOn w:val="Normal"/>
    <w:next w:val="Normal"/>
    <w:link w:val="TitreCar"/>
    <w:qFormat/>
    <w:rsid w:val="00D0274A"/>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D0274A"/>
    <w:rPr>
      <w:rFonts w:ascii="Calibri Light" w:eastAsia="Times New Roman" w:hAnsi="Calibri Light" w:cs="Times New Roman"/>
      <w:b/>
      <w:bCs/>
      <w:kern w:val="28"/>
      <w:sz w:val="32"/>
      <w:szCs w:val="32"/>
    </w:rPr>
  </w:style>
  <w:style w:type="paragraph" w:styleId="Paragraphedeliste">
    <w:name w:val="List Paragraph"/>
    <w:basedOn w:val="Normal"/>
    <w:uiPriority w:val="34"/>
    <w:qFormat/>
    <w:rsid w:val="0044498A"/>
    <w:pPr>
      <w:spacing w:before="0" w:after="0" w:line="276" w:lineRule="auto"/>
      <w:ind w:left="720"/>
      <w:contextualSpacing/>
    </w:pPr>
    <w:rPr>
      <w:szCs w:val="20"/>
    </w:rPr>
  </w:style>
  <w:style w:type="paragraph" w:styleId="Citationintense">
    <w:name w:val="Intense Quote"/>
    <w:basedOn w:val="Normal"/>
    <w:next w:val="Normal"/>
    <w:link w:val="CitationintenseCar"/>
    <w:uiPriority w:val="30"/>
    <w:qFormat/>
    <w:rsid w:val="0044498A"/>
    <w:pPr>
      <w:pBdr>
        <w:top w:val="single" w:sz="4" w:space="10" w:color="4F81BD"/>
        <w:bottom w:val="single" w:sz="4" w:space="10" w:color="4F81BD"/>
      </w:pBdr>
      <w:spacing w:before="360" w:after="360" w:line="276" w:lineRule="auto"/>
      <w:ind w:left="864" w:right="864"/>
      <w:jc w:val="center"/>
    </w:pPr>
    <w:rPr>
      <w:rFonts w:ascii="Times New Roman" w:hAnsi="Times New Roman"/>
      <w:i/>
      <w:iCs/>
      <w:color w:val="4F81BD"/>
    </w:rPr>
  </w:style>
  <w:style w:type="character" w:customStyle="1" w:styleId="CitationintenseCar">
    <w:name w:val="Citation intense Car"/>
    <w:link w:val="Citationintense"/>
    <w:uiPriority w:val="30"/>
    <w:rsid w:val="0044498A"/>
    <w:rPr>
      <w:i/>
      <w:iCs/>
      <w:color w:val="4F81BD"/>
      <w:sz w:val="22"/>
      <w:szCs w:val="24"/>
    </w:rPr>
  </w:style>
  <w:style w:type="paragraph" w:styleId="Textedebulles">
    <w:name w:val="Balloon Text"/>
    <w:basedOn w:val="Normal"/>
    <w:link w:val="TextedebullesCar"/>
    <w:uiPriority w:val="99"/>
    <w:semiHidden/>
    <w:unhideWhenUsed/>
    <w:rsid w:val="00255CAD"/>
    <w:pPr>
      <w:spacing w:before="0" w:after="0"/>
    </w:pPr>
    <w:rPr>
      <w:rFonts w:ascii="Segoe UI" w:hAnsi="Segoe UI" w:cs="Segoe UI"/>
      <w:sz w:val="18"/>
      <w:szCs w:val="18"/>
    </w:rPr>
  </w:style>
  <w:style w:type="character" w:customStyle="1" w:styleId="TextedebullesCar">
    <w:name w:val="Texte de bulles Car"/>
    <w:link w:val="Textedebulles"/>
    <w:uiPriority w:val="99"/>
    <w:semiHidden/>
    <w:rsid w:val="00255C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49799">
      <w:bodyDiv w:val="1"/>
      <w:marLeft w:val="0"/>
      <w:marRight w:val="0"/>
      <w:marTop w:val="0"/>
      <w:marBottom w:val="0"/>
      <w:divBdr>
        <w:top w:val="none" w:sz="0" w:space="0" w:color="auto"/>
        <w:left w:val="none" w:sz="0" w:space="0" w:color="auto"/>
        <w:bottom w:val="none" w:sz="0" w:space="0" w:color="auto"/>
        <w:right w:val="none" w:sz="0" w:space="0" w:color="auto"/>
      </w:divBdr>
    </w:div>
    <w:div w:id="309752969">
      <w:bodyDiv w:val="1"/>
      <w:marLeft w:val="0"/>
      <w:marRight w:val="0"/>
      <w:marTop w:val="0"/>
      <w:marBottom w:val="0"/>
      <w:divBdr>
        <w:top w:val="none" w:sz="0" w:space="0" w:color="auto"/>
        <w:left w:val="none" w:sz="0" w:space="0" w:color="auto"/>
        <w:bottom w:val="none" w:sz="0" w:space="0" w:color="auto"/>
        <w:right w:val="none" w:sz="0" w:space="0" w:color="auto"/>
      </w:divBdr>
    </w:div>
    <w:div w:id="492374316">
      <w:bodyDiv w:val="1"/>
      <w:marLeft w:val="0"/>
      <w:marRight w:val="0"/>
      <w:marTop w:val="0"/>
      <w:marBottom w:val="0"/>
      <w:divBdr>
        <w:top w:val="none" w:sz="0" w:space="0" w:color="auto"/>
        <w:left w:val="none" w:sz="0" w:space="0" w:color="auto"/>
        <w:bottom w:val="none" w:sz="0" w:space="0" w:color="auto"/>
        <w:right w:val="none" w:sz="0" w:space="0" w:color="auto"/>
      </w:divBdr>
    </w:div>
    <w:div w:id="752044876">
      <w:bodyDiv w:val="1"/>
      <w:marLeft w:val="0"/>
      <w:marRight w:val="0"/>
      <w:marTop w:val="0"/>
      <w:marBottom w:val="0"/>
      <w:divBdr>
        <w:top w:val="none" w:sz="0" w:space="0" w:color="auto"/>
        <w:left w:val="none" w:sz="0" w:space="0" w:color="auto"/>
        <w:bottom w:val="none" w:sz="0" w:space="0" w:color="auto"/>
        <w:right w:val="none" w:sz="0" w:space="0" w:color="auto"/>
      </w:divBdr>
    </w:div>
    <w:div w:id="756285739">
      <w:bodyDiv w:val="1"/>
      <w:marLeft w:val="0"/>
      <w:marRight w:val="0"/>
      <w:marTop w:val="0"/>
      <w:marBottom w:val="0"/>
      <w:divBdr>
        <w:top w:val="none" w:sz="0" w:space="0" w:color="auto"/>
        <w:left w:val="none" w:sz="0" w:space="0" w:color="auto"/>
        <w:bottom w:val="none" w:sz="0" w:space="0" w:color="auto"/>
        <w:right w:val="none" w:sz="0" w:space="0" w:color="auto"/>
      </w:divBdr>
    </w:div>
    <w:div w:id="775901171">
      <w:bodyDiv w:val="1"/>
      <w:marLeft w:val="0"/>
      <w:marRight w:val="0"/>
      <w:marTop w:val="0"/>
      <w:marBottom w:val="0"/>
      <w:divBdr>
        <w:top w:val="none" w:sz="0" w:space="0" w:color="auto"/>
        <w:left w:val="none" w:sz="0" w:space="0" w:color="auto"/>
        <w:bottom w:val="none" w:sz="0" w:space="0" w:color="auto"/>
        <w:right w:val="none" w:sz="0" w:space="0" w:color="auto"/>
      </w:divBdr>
    </w:div>
    <w:div w:id="1665815734">
      <w:bodyDiv w:val="1"/>
      <w:marLeft w:val="0"/>
      <w:marRight w:val="0"/>
      <w:marTop w:val="0"/>
      <w:marBottom w:val="0"/>
      <w:divBdr>
        <w:top w:val="none" w:sz="0" w:space="0" w:color="auto"/>
        <w:left w:val="none" w:sz="0" w:space="0" w:color="auto"/>
        <w:bottom w:val="none" w:sz="0" w:space="0" w:color="auto"/>
        <w:right w:val="none" w:sz="0" w:space="0" w:color="auto"/>
      </w:divBdr>
    </w:div>
    <w:div w:id="20983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F5629571250749B0E2FA56E7FC8165" ma:contentTypeVersion="11" ma:contentTypeDescription="Crée un document." ma:contentTypeScope="" ma:versionID="fb834b62325bc7abdf5d6cee1e396874">
  <xsd:schema xmlns:xsd="http://www.w3.org/2001/XMLSchema" xmlns:xs="http://www.w3.org/2001/XMLSchema" xmlns:p="http://schemas.microsoft.com/office/2006/metadata/properties" xmlns:ns2="1721b347-b125-4e43-93d4-8af9b1229f8c" xmlns:ns3="c7736a27-9e83-4c16-991e-927a23f68528" targetNamespace="http://schemas.microsoft.com/office/2006/metadata/properties" ma:root="true" ma:fieldsID="8eb441964f2036c9ce1d0ccb245dd9ff" ns2:_="" ns3:_="">
    <xsd:import namespace="1721b347-b125-4e43-93d4-8af9b1229f8c"/>
    <xsd:import namespace="c7736a27-9e83-4c16-991e-927a23f68528"/>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3: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4D22439-81A6-409B-BC22-F4AB27C81D8C}">
  <ds:schemaRefs>
    <ds:schemaRef ds:uri="http://schemas.microsoft.com/office/2006/metadata/longProperties"/>
  </ds:schemaRefs>
</ds:datastoreItem>
</file>

<file path=customXml/itemProps2.xml><?xml version="1.0" encoding="utf-8"?>
<ds:datastoreItem xmlns:ds="http://schemas.openxmlformats.org/officeDocument/2006/customXml" ds:itemID="{18C53399-0880-4A3F-BB1C-5E48938A0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275D2-07A7-4CC1-8042-2CBBBFCC8CC4}">
  <ds:schemaRefs>
    <ds:schemaRef ds:uri="http://schemas.microsoft.com/office/2006/documentManagement/types"/>
    <ds:schemaRef ds:uri="1721b347-b125-4e43-93d4-8af9b1229f8c"/>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c7736a27-9e83-4c16-991e-927a23f68528"/>
    <ds:schemaRef ds:uri="http://www.w3.org/XML/1998/namespace"/>
    <ds:schemaRef ds:uri="http://purl.org/dc/dcmitype/"/>
  </ds:schemaRefs>
</ds:datastoreItem>
</file>

<file path=customXml/itemProps4.xml><?xml version="1.0" encoding="utf-8"?>
<ds:datastoreItem xmlns:ds="http://schemas.openxmlformats.org/officeDocument/2006/customXml" ds:itemID="{2088E817-DA22-43E5-B135-7BEF087CB6C5}">
  <ds:schemaRefs>
    <ds:schemaRef ds:uri="http://schemas.microsoft.com/sharepoint/v3/contenttype/forms"/>
  </ds:schemaRefs>
</ds:datastoreItem>
</file>

<file path=customXml/itemProps5.xml><?xml version="1.0" encoding="utf-8"?>
<ds:datastoreItem xmlns:ds="http://schemas.openxmlformats.org/officeDocument/2006/customXml" ds:itemID="{43FB3928-02E6-4722-985D-511BCF77A3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13</Pages>
  <Words>3716</Words>
  <Characters>20442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COCCO François TSEF 2 CLASSE</dc:creator>
  <cp:keywords/>
  <cp:lastModifiedBy>MALAKE Eva ASC NIV 2 OA</cp:lastModifiedBy>
  <cp:revision>12</cp:revision>
  <cp:lastPrinted>2021-02-12T10:07:00Z</cp:lastPrinted>
  <dcterms:created xsi:type="dcterms:W3CDTF">2025-08-26T08:13:00Z</dcterms:created>
  <dcterms:modified xsi:type="dcterms:W3CDTF">2025-09-24T13:34:00Z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ture du document">
    <vt:lpwstr/>
  </property>
  <property fmtid="{D5CDD505-2E9C-101B-9397-08002B2CF9AE}" pid="3" name="WorkflowChangePath">
    <vt:lpwstr>e0815509-ed96-4594-ae88-a0b4b9403882,4;</vt:lpwstr>
  </property>
  <property fmtid="{D5CDD505-2E9C-101B-9397-08002B2CF9AE}" pid="4" name="_DocHome">
    <vt:i4>2135698699</vt:i4>
  </property>
</Properties>
</file>